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800C" w14:textId="77777777" w:rsidR="0035442D" w:rsidRDefault="0035442D" w:rsidP="0035442D">
      <w:pPr>
        <w:jc w:val="center"/>
        <w:rPr>
          <w:b/>
        </w:rPr>
      </w:pPr>
      <w:r>
        <w:rPr>
          <w:b/>
        </w:rPr>
        <w:t>2013-2015 m. a</w:t>
      </w:r>
      <w:r w:rsidRPr="006327A0">
        <w:rPr>
          <w:b/>
        </w:rPr>
        <w:t xml:space="preserve">ugalinio maisto </w:t>
      </w:r>
      <w:r>
        <w:rPr>
          <w:b/>
        </w:rPr>
        <w:t xml:space="preserve">produktų </w:t>
      </w:r>
      <w:r w:rsidRPr="006327A0">
        <w:rPr>
          <w:b/>
        </w:rPr>
        <w:t>taršos stebėsenos</w:t>
      </w:r>
      <w:r>
        <w:rPr>
          <w:b/>
        </w:rPr>
        <w:t xml:space="preserve"> planų</w:t>
      </w:r>
      <w:r w:rsidRPr="006327A0">
        <w:rPr>
          <w:b/>
        </w:rPr>
        <w:t xml:space="preserve"> vykdymas</w:t>
      </w:r>
    </w:p>
    <w:p w14:paraId="1F6535F0" w14:textId="77777777" w:rsidR="0035442D" w:rsidRDefault="0035442D" w:rsidP="0035442D">
      <w:pPr>
        <w:jc w:val="center"/>
        <w:rPr>
          <w:b/>
        </w:rPr>
      </w:pPr>
    </w:p>
    <w:p w14:paraId="08D2E90B" w14:textId="77777777" w:rsidR="0035442D" w:rsidRPr="00942CC1" w:rsidRDefault="0035442D" w:rsidP="0035442D">
      <w:pPr>
        <w:autoSpaceDE w:val="0"/>
        <w:autoSpaceDN w:val="0"/>
        <w:adjustRightInd w:val="0"/>
        <w:ind w:firstLine="567"/>
        <w:jc w:val="both"/>
        <w:rPr>
          <w:rFonts w:ascii="TimesNewRoman" w:hAnsi="TimesNewRoman" w:cs="TimesNewRoman"/>
          <w:color w:val="000000"/>
          <w:lang w:eastAsia="en-US"/>
        </w:rPr>
      </w:pPr>
      <w:r w:rsidRPr="00942CC1">
        <w:rPr>
          <w:rFonts w:ascii="TimesNewRoman" w:hAnsi="TimesNewRoman" w:cs="TimesNewRoman"/>
          <w:color w:val="000000"/>
          <w:lang w:eastAsia="en-US"/>
        </w:rPr>
        <w:t>Kiekvienais metais VMVT pagal teisės aktų reikalavimus vykdo augalinio maisto produktų taršos stebėsenos p</w:t>
      </w:r>
      <w:r>
        <w:rPr>
          <w:rFonts w:ascii="TimesNewRoman" w:hAnsi="TimesNewRoman" w:cs="TimesNewRoman"/>
          <w:color w:val="000000"/>
          <w:lang w:eastAsia="en-US"/>
        </w:rPr>
        <w:t>laną</w:t>
      </w:r>
      <w:r w:rsidRPr="00942CC1">
        <w:rPr>
          <w:rFonts w:ascii="TimesNewRoman" w:hAnsi="TimesNewRoman" w:cs="TimesNewRoman"/>
          <w:color w:val="000000"/>
          <w:lang w:eastAsia="en-US"/>
        </w:rPr>
        <w:t xml:space="preserve"> (toliau – P</w:t>
      </w:r>
      <w:r>
        <w:rPr>
          <w:rFonts w:ascii="TimesNewRoman" w:hAnsi="TimesNewRoman" w:cs="TimesNewRoman"/>
          <w:color w:val="000000"/>
          <w:lang w:eastAsia="en-US"/>
        </w:rPr>
        <w:t>lanas</w:t>
      </w:r>
      <w:r w:rsidRPr="00942CC1">
        <w:rPr>
          <w:rFonts w:ascii="TimesNewRoman" w:hAnsi="TimesNewRoman" w:cs="TimesNewRoman"/>
          <w:color w:val="000000"/>
          <w:lang w:eastAsia="en-US"/>
        </w:rPr>
        <w:t xml:space="preserve">). Pesticidų ir kitų cheminių teršalų likučių kontrolę atlieka </w:t>
      </w:r>
      <w:r>
        <w:rPr>
          <w:rFonts w:ascii="TimesNewRoman" w:hAnsi="TimesNewRoman" w:cs="TimesNewRoman"/>
          <w:color w:val="000000"/>
          <w:lang w:eastAsia="en-US"/>
        </w:rPr>
        <w:t>171</w:t>
      </w:r>
      <w:r w:rsidRPr="00942CC1">
        <w:rPr>
          <w:rFonts w:ascii="TimesNewRoman" w:hAnsi="TimesNewRoman" w:cs="TimesNewRoman"/>
          <w:color w:val="000000"/>
          <w:lang w:eastAsia="en-US"/>
        </w:rPr>
        <w:t xml:space="preserve"> </w:t>
      </w:r>
      <w:r>
        <w:rPr>
          <w:rFonts w:ascii="TimesNewRoman" w:hAnsi="TimesNewRoman" w:cs="TimesNewRoman"/>
          <w:color w:val="000000"/>
          <w:lang w:eastAsia="en-US"/>
        </w:rPr>
        <w:t xml:space="preserve">VMVT </w:t>
      </w:r>
      <w:r w:rsidRPr="00942CC1">
        <w:rPr>
          <w:rFonts w:ascii="TimesNewRoman" w:hAnsi="TimesNewRoman" w:cs="TimesNewRoman"/>
          <w:color w:val="000000"/>
          <w:lang w:eastAsia="en-US"/>
        </w:rPr>
        <w:t>teritorinių VMVT apmok</w:t>
      </w:r>
      <w:r>
        <w:rPr>
          <w:rFonts w:ascii="TimesNewRoman" w:hAnsi="TimesNewRoman" w:cs="TimesNewRoman"/>
          <w:color w:val="000000"/>
          <w:lang w:eastAsia="en-US"/>
        </w:rPr>
        <w:t>yti maisto produktų inspektoriai</w:t>
      </w:r>
      <w:r w:rsidRPr="00942CC1">
        <w:rPr>
          <w:rFonts w:ascii="TimesNewRoman" w:hAnsi="TimesNewRoman" w:cs="TimesNewRoman"/>
          <w:color w:val="000000"/>
          <w:lang w:eastAsia="en-US"/>
        </w:rPr>
        <w:t xml:space="preserve">. </w:t>
      </w:r>
    </w:p>
    <w:p w14:paraId="1E430EF5" w14:textId="77777777" w:rsidR="0035442D" w:rsidRDefault="0035442D" w:rsidP="0035442D">
      <w:pPr>
        <w:ind w:firstLine="567"/>
        <w:jc w:val="both"/>
        <w:rPr>
          <w:szCs w:val="20"/>
          <w:lang w:eastAsia="en-US"/>
        </w:rPr>
      </w:pPr>
      <w:r>
        <w:rPr>
          <w:szCs w:val="20"/>
          <w:lang w:eastAsia="en-US"/>
        </w:rPr>
        <w:t>Plano</w:t>
      </w:r>
      <w:r w:rsidRPr="00BF0D7B">
        <w:rPr>
          <w:szCs w:val="20"/>
          <w:lang w:eastAsia="en-US"/>
        </w:rPr>
        <w:t xml:space="preserve"> tikslas</w:t>
      </w:r>
      <w:r w:rsidRPr="00942CC1">
        <w:rPr>
          <w:i/>
          <w:szCs w:val="20"/>
          <w:lang w:eastAsia="en-US"/>
        </w:rPr>
        <w:t xml:space="preserve"> </w:t>
      </w:r>
      <w:r w:rsidRPr="00942CC1">
        <w:rPr>
          <w:szCs w:val="20"/>
          <w:lang w:eastAsia="en-US"/>
        </w:rPr>
        <w:t>– stebėti, vertinti ir valdyti pesticidų, mikotoksinų,</w:t>
      </w:r>
      <w:r>
        <w:rPr>
          <w:szCs w:val="20"/>
          <w:lang w:eastAsia="en-US"/>
        </w:rPr>
        <w:t xml:space="preserve"> sunkiųjų metalų,</w:t>
      </w:r>
      <w:r w:rsidRPr="00942CC1">
        <w:rPr>
          <w:szCs w:val="20"/>
          <w:lang w:eastAsia="en-US"/>
        </w:rPr>
        <w:t xml:space="preserve"> </w:t>
      </w:r>
      <w:proofErr w:type="spellStart"/>
      <w:r w:rsidRPr="00942CC1">
        <w:rPr>
          <w:szCs w:val="20"/>
          <w:lang w:eastAsia="en-US"/>
        </w:rPr>
        <w:t>akrilamido</w:t>
      </w:r>
      <w:proofErr w:type="spellEnd"/>
      <w:r>
        <w:rPr>
          <w:szCs w:val="20"/>
          <w:lang w:eastAsia="en-US"/>
        </w:rPr>
        <w:t>,</w:t>
      </w:r>
      <w:r w:rsidRPr="00942CC1">
        <w:rPr>
          <w:szCs w:val="20"/>
          <w:lang w:eastAsia="en-US"/>
        </w:rPr>
        <w:t xml:space="preserve"> </w:t>
      </w:r>
      <w:proofErr w:type="spellStart"/>
      <w:r w:rsidRPr="00942CC1">
        <w:rPr>
          <w:szCs w:val="20"/>
          <w:lang w:eastAsia="en-US"/>
        </w:rPr>
        <w:t>furano</w:t>
      </w:r>
      <w:proofErr w:type="spellEnd"/>
      <w:r w:rsidRPr="00942CC1">
        <w:rPr>
          <w:szCs w:val="20"/>
          <w:lang w:eastAsia="en-US"/>
        </w:rPr>
        <w:t xml:space="preserve"> </w:t>
      </w:r>
      <w:r>
        <w:rPr>
          <w:szCs w:val="20"/>
          <w:lang w:eastAsia="en-US"/>
        </w:rPr>
        <w:t xml:space="preserve">nitratų, policiklinių aromatinių angliavandenilių (PAA), sunkiųjų metalų, 3-MCPD ir </w:t>
      </w:r>
      <w:proofErr w:type="spellStart"/>
      <w:r>
        <w:rPr>
          <w:szCs w:val="20"/>
          <w:lang w:eastAsia="en-US"/>
        </w:rPr>
        <w:t>chlorato</w:t>
      </w:r>
      <w:proofErr w:type="spellEnd"/>
      <w:r>
        <w:rPr>
          <w:szCs w:val="20"/>
          <w:lang w:eastAsia="en-US"/>
        </w:rPr>
        <w:t xml:space="preserve"> ir kitų teršalų </w:t>
      </w:r>
      <w:r w:rsidRPr="00942CC1">
        <w:rPr>
          <w:szCs w:val="20"/>
          <w:lang w:eastAsia="en-US"/>
        </w:rPr>
        <w:t>liekanas augalinio maisto produktuose</w:t>
      </w:r>
      <w:r>
        <w:rPr>
          <w:szCs w:val="20"/>
          <w:lang w:eastAsia="en-US"/>
        </w:rPr>
        <w:t>, u</w:t>
      </w:r>
      <w:r w:rsidRPr="00942CC1">
        <w:rPr>
          <w:szCs w:val="20"/>
          <w:lang w:eastAsia="en-US"/>
        </w:rPr>
        <w:t>žtikrinti užteršto maisto produktų</w:t>
      </w:r>
      <w:r>
        <w:rPr>
          <w:szCs w:val="20"/>
          <w:lang w:eastAsia="en-US"/>
        </w:rPr>
        <w:t>, atlikus rizikos vertinimą ir nustačius, kad produktas nesaugus,</w:t>
      </w:r>
      <w:r w:rsidRPr="00942CC1">
        <w:rPr>
          <w:szCs w:val="20"/>
          <w:lang w:eastAsia="en-US"/>
        </w:rPr>
        <w:t xml:space="preserve"> </w:t>
      </w:r>
      <w:r>
        <w:rPr>
          <w:szCs w:val="20"/>
          <w:lang w:eastAsia="en-US"/>
        </w:rPr>
        <w:t xml:space="preserve">draudimą tiekti rinkai arba </w:t>
      </w:r>
      <w:r w:rsidRPr="00942CC1">
        <w:rPr>
          <w:szCs w:val="20"/>
          <w:lang w:eastAsia="en-US"/>
        </w:rPr>
        <w:t>pašalini</w:t>
      </w:r>
      <w:r>
        <w:rPr>
          <w:szCs w:val="20"/>
          <w:lang w:eastAsia="en-US"/>
        </w:rPr>
        <w:t>mą iš rinkos ir garantuoti, kaip įmanomą didesnę vartotojų apsaugą. Tyrimais nustačius nesaugų produktą apie tai skelbiama informacija VMVT tinklalapyje.</w:t>
      </w:r>
    </w:p>
    <w:p w14:paraId="0DA19D2E" w14:textId="77777777" w:rsidR="0035442D" w:rsidRDefault="0035442D" w:rsidP="0035442D">
      <w:pPr>
        <w:ind w:firstLine="567"/>
        <w:jc w:val="both"/>
        <w:rPr>
          <w:lang w:eastAsia="en-US"/>
        </w:rPr>
      </w:pPr>
      <w:r>
        <w:rPr>
          <w:lang w:eastAsia="en-US"/>
        </w:rPr>
        <w:t>Planai</w:t>
      </w:r>
      <w:r w:rsidRPr="00942CC1">
        <w:rPr>
          <w:lang w:eastAsia="en-US"/>
        </w:rPr>
        <w:t xml:space="preserve"> parengt</w:t>
      </w:r>
      <w:r>
        <w:rPr>
          <w:lang w:eastAsia="en-US"/>
        </w:rPr>
        <w:t>i</w:t>
      </w:r>
      <w:r w:rsidRPr="00942CC1">
        <w:rPr>
          <w:lang w:eastAsia="en-US"/>
        </w:rPr>
        <w:t xml:space="preserve"> </w:t>
      </w:r>
      <w:r>
        <w:rPr>
          <w:lang w:eastAsia="en-US"/>
        </w:rPr>
        <w:t xml:space="preserve">vadovaujantis Europos Sąjungos teisės aktais ir rekomendacinio pobūdžio dokumentais, kuriuos pateikia Europos Komisija, atsižvelgus į </w:t>
      </w:r>
      <w:r w:rsidRPr="00942CC1">
        <w:rPr>
          <w:lang w:eastAsia="en-US"/>
        </w:rPr>
        <w:t>Lietuvos Respublikos sveikatos apsaug</w:t>
      </w:r>
      <w:r>
        <w:rPr>
          <w:lang w:eastAsia="en-US"/>
        </w:rPr>
        <w:t>os ministerijos rekomendacijas</w:t>
      </w:r>
      <w:r w:rsidRPr="00942CC1">
        <w:rPr>
          <w:lang w:eastAsia="en-US"/>
        </w:rPr>
        <w:t>, augalinio maisto produktų užteršimo pesticidų liekanomis ir kitais teršalais keliama rizika, pesticidų naudojimo apimtį pag</w:t>
      </w:r>
      <w:r>
        <w:rPr>
          <w:lang w:eastAsia="en-US"/>
        </w:rPr>
        <w:t xml:space="preserve">al Valstybinės augalininkystės </w:t>
      </w:r>
      <w:r w:rsidRPr="00942CC1">
        <w:rPr>
          <w:lang w:eastAsia="en-US"/>
        </w:rPr>
        <w:t xml:space="preserve">tarnybos prie Žemės ūkio ministerijos (toliau – VATŽŪM) duomenis, gautą informaciją iš VATŽŪM apie augintojus, naudojančius neregistruotas Lietuvos Respublikoje augalų apsaugos priemones, Nacionalinio maisto ir veterinarijos rizikos vertinimo instituto (toliau – NMVRVI) rizikos vertinimo rezultatais, skubiųjų pranešimų apie nesaugaus maisto ir pašarų tiekimą rinkai sistema (toliau – RASFF sistema) gautais pranešimais.  </w:t>
      </w:r>
    </w:p>
    <w:p w14:paraId="0C17AED4" w14:textId="77777777" w:rsidR="0035442D" w:rsidRPr="00061B67" w:rsidRDefault="0035442D" w:rsidP="0035442D">
      <w:pPr>
        <w:ind w:firstLine="567"/>
        <w:jc w:val="both"/>
        <w:rPr>
          <w:b/>
          <w:lang w:eastAsia="en-US"/>
        </w:rPr>
      </w:pPr>
      <w:r w:rsidRPr="00061B67">
        <w:rPr>
          <w:b/>
          <w:lang w:eastAsia="en-US"/>
        </w:rPr>
        <w:t xml:space="preserve">5 </w:t>
      </w:r>
      <w:r>
        <w:rPr>
          <w:b/>
          <w:lang w:eastAsia="en-US"/>
        </w:rPr>
        <w:t>lentelė 2013-2015</w:t>
      </w:r>
      <w:r w:rsidRPr="00061B67">
        <w:rPr>
          <w:b/>
          <w:lang w:eastAsia="en-US"/>
        </w:rPr>
        <w:t xml:space="preserve"> m. augalinio maisto produktų taršos stebėsenos plano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24"/>
        <w:gridCol w:w="1276"/>
        <w:gridCol w:w="1134"/>
        <w:gridCol w:w="1186"/>
        <w:gridCol w:w="1056"/>
        <w:gridCol w:w="1282"/>
      </w:tblGrid>
      <w:tr w:rsidR="0035442D" w14:paraId="20EEFF7E" w14:textId="77777777" w:rsidTr="00A7147E">
        <w:tc>
          <w:tcPr>
            <w:tcW w:w="2376" w:type="dxa"/>
          </w:tcPr>
          <w:p w14:paraId="039AA893" w14:textId="77777777" w:rsidR="0035442D" w:rsidRDefault="0035442D" w:rsidP="00A7147E">
            <w:pPr>
              <w:spacing w:after="120"/>
              <w:rPr>
                <w:lang w:eastAsia="en-US"/>
              </w:rPr>
            </w:pPr>
          </w:p>
        </w:tc>
        <w:tc>
          <w:tcPr>
            <w:tcW w:w="2500" w:type="dxa"/>
            <w:gridSpan w:val="2"/>
          </w:tcPr>
          <w:p w14:paraId="5F41D3A9" w14:textId="77777777" w:rsidR="0035442D" w:rsidRPr="002B2DE4" w:rsidRDefault="0035442D" w:rsidP="00A7147E">
            <w:pPr>
              <w:spacing w:after="120"/>
              <w:jc w:val="center"/>
              <w:rPr>
                <w:b/>
                <w:lang w:eastAsia="en-US"/>
              </w:rPr>
            </w:pPr>
            <w:r w:rsidRPr="002B2DE4">
              <w:rPr>
                <w:b/>
                <w:lang w:eastAsia="en-US"/>
              </w:rPr>
              <w:t>2013</w:t>
            </w:r>
          </w:p>
        </w:tc>
        <w:tc>
          <w:tcPr>
            <w:tcW w:w="2320" w:type="dxa"/>
            <w:gridSpan w:val="2"/>
          </w:tcPr>
          <w:p w14:paraId="7B61E670" w14:textId="77777777" w:rsidR="0035442D" w:rsidRPr="002B2DE4" w:rsidRDefault="0035442D" w:rsidP="00A7147E">
            <w:pPr>
              <w:spacing w:after="120"/>
              <w:jc w:val="center"/>
              <w:rPr>
                <w:b/>
                <w:lang w:eastAsia="en-US"/>
              </w:rPr>
            </w:pPr>
            <w:r w:rsidRPr="002B2DE4">
              <w:rPr>
                <w:b/>
                <w:lang w:eastAsia="en-US"/>
              </w:rPr>
              <w:t>2014</w:t>
            </w:r>
          </w:p>
        </w:tc>
        <w:tc>
          <w:tcPr>
            <w:tcW w:w="2338" w:type="dxa"/>
            <w:gridSpan w:val="2"/>
          </w:tcPr>
          <w:p w14:paraId="75D2540A" w14:textId="77777777" w:rsidR="0035442D" w:rsidRPr="002B2DE4" w:rsidRDefault="0035442D" w:rsidP="00A7147E">
            <w:pPr>
              <w:spacing w:after="120"/>
              <w:jc w:val="center"/>
              <w:rPr>
                <w:b/>
                <w:lang w:eastAsia="en-US"/>
              </w:rPr>
            </w:pPr>
            <w:r w:rsidRPr="002B2DE4">
              <w:rPr>
                <w:b/>
                <w:lang w:eastAsia="en-US"/>
              </w:rPr>
              <w:t>2015</w:t>
            </w:r>
          </w:p>
        </w:tc>
      </w:tr>
      <w:tr w:rsidR="0035442D" w14:paraId="565CED78" w14:textId="77777777" w:rsidTr="00A7147E">
        <w:tc>
          <w:tcPr>
            <w:tcW w:w="2376" w:type="dxa"/>
          </w:tcPr>
          <w:p w14:paraId="0BCC41FE" w14:textId="77777777" w:rsidR="0035442D" w:rsidRDefault="0035442D" w:rsidP="00A7147E">
            <w:pPr>
              <w:spacing w:after="120"/>
              <w:rPr>
                <w:lang w:eastAsia="en-US"/>
              </w:rPr>
            </w:pPr>
            <w:r>
              <w:rPr>
                <w:lang w:eastAsia="en-US"/>
              </w:rPr>
              <w:t>Teršalas</w:t>
            </w:r>
          </w:p>
        </w:tc>
        <w:tc>
          <w:tcPr>
            <w:tcW w:w="1224" w:type="dxa"/>
          </w:tcPr>
          <w:p w14:paraId="360C701C" w14:textId="77777777" w:rsidR="0035442D" w:rsidRDefault="0035442D" w:rsidP="00A7147E">
            <w:pPr>
              <w:spacing w:after="120"/>
              <w:jc w:val="center"/>
              <w:rPr>
                <w:lang w:eastAsia="en-US"/>
              </w:rPr>
            </w:pPr>
            <w:r>
              <w:rPr>
                <w:lang w:eastAsia="en-US"/>
              </w:rPr>
              <w:t>Planuota ištirti mėginių</w:t>
            </w:r>
          </w:p>
        </w:tc>
        <w:tc>
          <w:tcPr>
            <w:tcW w:w="1276" w:type="dxa"/>
          </w:tcPr>
          <w:p w14:paraId="1635BCEA" w14:textId="77777777" w:rsidR="0035442D" w:rsidRDefault="0035442D" w:rsidP="00A7147E">
            <w:pPr>
              <w:spacing w:after="120"/>
              <w:jc w:val="center"/>
              <w:rPr>
                <w:lang w:eastAsia="en-US"/>
              </w:rPr>
            </w:pPr>
            <w:r>
              <w:rPr>
                <w:lang w:eastAsia="en-US"/>
              </w:rPr>
              <w:t>Įvykdyta (%)</w:t>
            </w:r>
          </w:p>
        </w:tc>
        <w:tc>
          <w:tcPr>
            <w:tcW w:w="1134" w:type="dxa"/>
          </w:tcPr>
          <w:p w14:paraId="269D0F36" w14:textId="77777777" w:rsidR="0035442D" w:rsidRDefault="0035442D" w:rsidP="00A7147E">
            <w:pPr>
              <w:spacing w:after="120"/>
              <w:jc w:val="center"/>
              <w:rPr>
                <w:lang w:eastAsia="en-US"/>
              </w:rPr>
            </w:pPr>
            <w:r>
              <w:rPr>
                <w:lang w:eastAsia="en-US"/>
              </w:rPr>
              <w:t>Planuota ištirti mėginių</w:t>
            </w:r>
          </w:p>
        </w:tc>
        <w:tc>
          <w:tcPr>
            <w:tcW w:w="1186" w:type="dxa"/>
          </w:tcPr>
          <w:p w14:paraId="725D58EA" w14:textId="77777777" w:rsidR="0035442D" w:rsidRDefault="0035442D" w:rsidP="00A7147E">
            <w:pPr>
              <w:spacing w:after="120"/>
              <w:jc w:val="center"/>
              <w:rPr>
                <w:lang w:eastAsia="en-US"/>
              </w:rPr>
            </w:pPr>
            <w:r>
              <w:rPr>
                <w:lang w:eastAsia="en-US"/>
              </w:rPr>
              <w:t>Įvykdyta (%)</w:t>
            </w:r>
          </w:p>
        </w:tc>
        <w:tc>
          <w:tcPr>
            <w:tcW w:w="1056" w:type="dxa"/>
          </w:tcPr>
          <w:p w14:paraId="02290219" w14:textId="77777777" w:rsidR="0035442D" w:rsidRDefault="0035442D" w:rsidP="00A7147E">
            <w:pPr>
              <w:spacing w:after="120"/>
              <w:jc w:val="center"/>
              <w:rPr>
                <w:lang w:eastAsia="en-US"/>
              </w:rPr>
            </w:pPr>
            <w:r>
              <w:rPr>
                <w:lang w:eastAsia="en-US"/>
              </w:rPr>
              <w:t>Planuota ištirti mėginių</w:t>
            </w:r>
          </w:p>
        </w:tc>
        <w:tc>
          <w:tcPr>
            <w:tcW w:w="1282" w:type="dxa"/>
          </w:tcPr>
          <w:p w14:paraId="7A421A92" w14:textId="77777777" w:rsidR="0035442D" w:rsidRDefault="0035442D" w:rsidP="00A7147E">
            <w:pPr>
              <w:spacing w:after="120"/>
              <w:jc w:val="center"/>
              <w:rPr>
                <w:lang w:eastAsia="en-US"/>
              </w:rPr>
            </w:pPr>
            <w:r>
              <w:rPr>
                <w:lang w:eastAsia="en-US"/>
              </w:rPr>
              <w:t>Įvykdyta</w:t>
            </w:r>
          </w:p>
          <w:p w14:paraId="55025AA9" w14:textId="77777777" w:rsidR="0035442D" w:rsidRDefault="0035442D" w:rsidP="00A7147E">
            <w:pPr>
              <w:spacing w:after="120"/>
              <w:jc w:val="center"/>
              <w:rPr>
                <w:lang w:eastAsia="en-US"/>
              </w:rPr>
            </w:pPr>
            <w:r>
              <w:rPr>
                <w:lang w:eastAsia="en-US"/>
              </w:rPr>
              <w:t>(%)</w:t>
            </w:r>
          </w:p>
        </w:tc>
      </w:tr>
      <w:tr w:rsidR="0035442D" w14:paraId="1DAEA562" w14:textId="77777777" w:rsidTr="00A7147E">
        <w:tc>
          <w:tcPr>
            <w:tcW w:w="2376" w:type="dxa"/>
            <w:shd w:val="clear" w:color="auto" w:fill="C6D9F1" w:themeFill="text2" w:themeFillTint="33"/>
          </w:tcPr>
          <w:p w14:paraId="460EF9E6" w14:textId="77777777" w:rsidR="0035442D" w:rsidRDefault="0035442D" w:rsidP="00A7147E">
            <w:pPr>
              <w:spacing w:after="120"/>
              <w:rPr>
                <w:lang w:eastAsia="en-US"/>
              </w:rPr>
            </w:pPr>
            <w:r>
              <w:rPr>
                <w:lang w:eastAsia="en-US"/>
              </w:rPr>
              <w:t>Viso</w:t>
            </w:r>
          </w:p>
        </w:tc>
        <w:tc>
          <w:tcPr>
            <w:tcW w:w="1224" w:type="dxa"/>
            <w:shd w:val="clear" w:color="auto" w:fill="C6D9F1" w:themeFill="text2" w:themeFillTint="33"/>
          </w:tcPr>
          <w:p w14:paraId="4795B636" w14:textId="77777777" w:rsidR="0035442D" w:rsidRPr="00402A39" w:rsidRDefault="0035442D" w:rsidP="00A7147E">
            <w:pPr>
              <w:jc w:val="center"/>
              <w:rPr>
                <w:b/>
                <w:lang w:eastAsia="en-US"/>
              </w:rPr>
            </w:pPr>
            <w:r w:rsidRPr="00402A39">
              <w:rPr>
                <w:b/>
                <w:lang w:eastAsia="en-US"/>
              </w:rPr>
              <w:t>612</w:t>
            </w:r>
          </w:p>
        </w:tc>
        <w:tc>
          <w:tcPr>
            <w:tcW w:w="1276" w:type="dxa"/>
            <w:shd w:val="clear" w:color="auto" w:fill="C6D9F1" w:themeFill="text2" w:themeFillTint="33"/>
          </w:tcPr>
          <w:p w14:paraId="557BFE4C" w14:textId="77777777" w:rsidR="0035442D" w:rsidRPr="00402A39" w:rsidRDefault="0035442D" w:rsidP="00A7147E">
            <w:pPr>
              <w:jc w:val="center"/>
              <w:rPr>
                <w:b/>
                <w:lang w:eastAsia="en-US"/>
              </w:rPr>
            </w:pPr>
            <w:r w:rsidRPr="00402A39">
              <w:rPr>
                <w:b/>
                <w:lang w:eastAsia="en-US"/>
              </w:rPr>
              <w:t>603</w:t>
            </w:r>
          </w:p>
          <w:p w14:paraId="10D78ACB" w14:textId="77777777" w:rsidR="0035442D" w:rsidRPr="00402A39" w:rsidRDefault="0035442D" w:rsidP="00A7147E">
            <w:pPr>
              <w:jc w:val="center"/>
              <w:rPr>
                <w:b/>
                <w:lang w:eastAsia="en-US"/>
              </w:rPr>
            </w:pPr>
            <w:r w:rsidRPr="00402A39">
              <w:rPr>
                <w:b/>
                <w:lang w:eastAsia="en-US"/>
              </w:rPr>
              <w:t>(98,54%)</w:t>
            </w:r>
          </w:p>
        </w:tc>
        <w:tc>
          <w:tcPr>
            <w:tcW w:w="1134" w:type="dxa"/>
            <w:shd w:val="clear" w:color="auto" w:fill="C6D9F1" w:themeFill="text2" w:themeFillTint="33"/>
          </w:tcPr>
          <w:p w14:paraId="37F457C7" w14:textId="77777777" w:rsidR="0035442D" w:rsidRPr="00402A39" w:rsidRDefault="0035442D" w:rsidP="00A7147E">
            <w:pPr>
              <w:jc w:val="center"/>
              <w:rPr>
                <w:b/>
                <w:lang w:eastAsia="en-US"/>
              </w:rPr>
            </w:pPr>
            <w:r w:rsidRPr="00402A39">
              <w:rPr>
                <w:b/>
                <w:lang w:eastAsia="en-US"/>
              </w:rPr>
              <w:t>720</w:t>
            </w:r>
          </w:p>
        </w:tc>
        <w:tc>
          <w:tcPr>
            <w:tcW w:w="1186" w:type="dxa"/>
            <w:shd w:val="clear" w:color="auto" w:fill="C6D9F1" w:themeFill="text2" w:themeFillTint="33"/>
          </w:tcPr>
          <w:p w14:paraId="33D83274" w14:textId="77777777" w:rsidR="0035442D" w:rsidRPr="00402A39" w:rsidRDefault="0035442D" w:rsidP="00A7147E">
            <w:pPr>
              <w:jc w:val="center"/>
              <w:rPr>
                <w:b/>
                <w:lang w:eastAsia="en-US"/>
              </w:rPr>
            </w:pPr>
            <w:r w:rsidRPr="00402A39">
              <w:rPr>
                <w:b/>
                <w:lang w:eastAsia="en-US"/>
              </w:rPr>
              <w:t>698</w:t>
            </w:r>
          </w:p>
          <w:p w14:paraId="081458B9" w14:textId="77777777" w:rsidR="0035442D" w:rsidRPr="00402A39" w:rsidRDefault="0035442D" w:rsidP="00A7147E">
            <w:pPr>
              <w:jc w:val="center"/>
              <w:rPr>
                <w:b/>
                <w:lang w:eastAsia="en-US"/>
              </w:rPr>
            </w:pPr>
            <w:r w:rsidRPr="00402A39">
              <w:rPr>
                <w:b/>
                <w:lang w:eastAsia="en-US"/>
              </w:rPr>
              <w:t>(96,94%)</w:t>
            </w:r>
          </w:p>
        </w:tc>
        <w:tc>
          <w:tcPr>
            <w:tcW w:w="1056" w:type="dxa"/>
            <w:shd w:val="clear" w:color="auto" w:fill="C6D9F1" w:themeFill="text2" w:themeFillTint="33"/>
          </w:tcPr>
          <w:p w14:paraId="0F9C56C0" w14:textId="77777777" w:rsidR="0035442D" w:rsidRPr="00402A39" w:rsidRDefault="0035442D" w:rsidP="00A7147E">
            <w:pPr>
              <w:jc w:val="center"/>
              <w:rPr>
                <w:b/>
                <w:lang w:eastAsia="en-US"/>
              </w:rPr>
            </w:pPr>
            <w:r w:rsidRPr="00402A39">
              <w:rPr>
                <w:b/>
                <w:lang w:eastAsia="en-US"/>
              </w:rPr>
              <w:t>836</w:t>
            </w:r>
          </w:p>
        </w:tc>
        <w:tc>
          <w:tcPr>
            <w:tcW w:w="1282" w:type="dxa"/>
            <w:shd w:val="clear" w:color="auto" w:fill="C6D9F1" w:themeFill="text2" w:themeFillTint="33"/>
          </w:tcPr>
          <w:p w14:paraId="7BB8B74C" w14:textId="77777777" w:rsidR="0035442D" w:rsidRPr="00402A39" w:rsidRDefault="0035442D" w:rsidP="00A7147E">
            <w:pPr>
              <w:jc w:val="center"/>
              <w:rPr>
                <w:b/>
                <w:lang w:eastAsia="en-US"/>
              </w:rPr>
            </w:pPr>
            <w:r w:rsidRPr="00402A39">
              <w:rPr>
                <w:b/>
                <w:lang w:eastAsia="en-US"/>
              </w:rPr>
              <w:t>829</w:t>
            </w:r>
          </w:p>
          <w:p w14:paraId="785CDD9C" w14:textId="77777777" w:rsidR="0035442D" w:rsidRPr="00402A39" w:rsidRDefault="0035442D" w:rsidP="00A7147E">
            <w:pPr>
              <w:jc w:val="center"/>
              <w:rPr>
                <w:b/>
                <w:lang w:eastAsia="en-US"/>
              </w:rPr>
            </w:pPr>
            <w:r w:rsidRPr="00402A39">
              <w:rPr>
                <w:b/>
                <w:lang w:eastAsia="en-US"/>
              </w:rPr>
              <w:t>(99,16%)</w:t>
            </w:r>
          </w:p>
        </w:tc>
      </w:tr>
      <w:tr w:rsidR="0035442D" w14:paraId="3C62825B" w14:textId="77777777" w:rsidTr="00A7147E">
        <w:tc>
          <w:tcPr>
            <w:tcW w:w="2376" w:type="dxa"/>
          </w:tcPr>
          <w:p w14:paraId="500B4FE1" w14:textId="77777777" w:rsidR="0035442D" w:rsidRDefault="0035442D" w:rsidP="00A7147E">
            <w:pPr>
              <w:spacing w:after="120"/>
              <w:rPr>
                <w:lang w:eastAsia="en-US"/>
              </w:rPr>
            </w:pPr>
            <w:r>
              <w:rPr>
                <w:lang w:eastAsia="en-US"/>
              </w:rPr>
              <w:t>Pesticidai</w:t>
            </w:r>
          </w:p>
        </w:tc>
        <w:tc>
          <w:tcPr>
            <w:tcW w:w="1224" w:type="dxa"/>
          </w:tcPr>
          <w:p w14:paraId="5D045C2E" w14:textId="77777777" w:rsidR="0035442D" w:rsidRDefault="0035442D" w:rsidP="00A7147E">
            <w:pPr>
              <w:spacing w:after="120"/>
              <w:jc w:val="center"/>
              <w:rPr>
                <w:lang w:eastAsia="en-US"/>
              </w:rPr>
            </w:pPr>
            <w:r>
              <w:rPr>
                <w:lang w:eastAsia="en-US"/>
              </w:rPr>
              <w:t>417</w:t>
            </w:r>
          </w:p>
        </w:tc>
        <w:tc>
          <w:tcPr>
            <w:tcW w:w="1276" w:type="dxa"/>
          </w:tcPr>
          <w:p w14:paraId="0B512AB4" w14:textId="77777777" w:rsidR="0035442D" w:rsidRDefault="0035442D" w:rsidP="00A7147E">
            <w:pPr>
              <w:spacing w:after="120"/>
              <w:jc w:val="center"/>
              <w:rPr>
                <w:lang w:eastAsia="en-US"/>
              </w:rPr>
            </w:pPr>
            <w:r>
              <w:rPr>
                <w:lang w:eastAsia="en-US"/>
              </w:rPr>
              <w:t>402</w:t>
            </w:r>
          </w:p>
        </w:tc>
        <w:tc>
          <w:tcPr>
            <w:tcW w:w="1134" w:type="dxa"/>
          </w:tcPr>
          <w:p w14:paraId="43DFF4A3" w14:textId="77777777" w:rsidR="0035442D" w:rsidRDefault="0035442D" w:rsidP="00A7147E">
            <w:pPr>
              <w:spacing w:after="120"/>
              <w:jc w:val="center"/>
              <w:rPr>
                <w:lang w:eastAsia="en-US"/>
              </w:rPr>
            </w:pPr>
            <w:r>
              <w:rPr>
                <w:lang w:eastAsia="en-US"/>
              </w:rPr>
              <w:t>500</w:t>
            </w:r>
          </w:p>
        </w:tc>
        <w:tc>
          <w:tcPr>
            <w:tcW w:w="1186" w:type="dxa"/>
          </w:tcPr>
          <w:p w14:paraId="01B8E25E" w14:textId="77777777" w:rsidR="0035442D" w:rsidRDefault="0035442D" w:rsidP="00A7147E">
            <w:pPr>
              <w:spacing w:after="120"/>
              <w:jc w:val="center"/>
              <w:rPr>
                <w:lang w:eastAsia="en-US"/>
              </w:rPr>
            </w:pPr>
            <w:r>
              <w:rPr>
                <w:lang w:eastAsia="en-US"/>
              </w:rPr>
              <w:t>484</w:t>
            </w:r>
          </w:p>
        </w:tc>
        <w:tc>
          <w:tcPr>
            <w:tcW w:w="1056" w:type="dxa"/>
          </w:tcPr>
          <w:p w14:paraId="2CD0D8C3" w14:textId="77777777" w:rsidR="0035442D" w:rsidRDefault="0035442D" w:rsidP="00A7147E">
            <w:pPr>
              <w:spacing w:after="120"/>
              <w:jc w:val="center"/>
              <w:rPr>
                <w:lang w:eastAsia="en-US"/>
              </w:rPr>
            </w:pPr>
            <w:r>
              <w:rPr>
                <w:lang w:eastAsia="en-US"/>
              </w:rPr>
              <w:t>623</w:t>
            </w:r>
          </w:p>
        </w:tc>
        <w:tc>
          <w:tcPr>
            <w:tcW w:w="1282" w:type="dxa"/>
          </w:tcPr>
          <w:p w14:paraId="6318758D" w14:textId="77777777" w:rsidR="0035442D" w:rsidRDefault="0035442D" w:rsidP="00A7147E">
            <w:pPr>
              <w:spacing w:after="120"/>
              <w:jc w:val="center"/>
              <w:rPr>
                <w:lang w:eastAsia="en-US"/>
              </w:rPr>
            </w:pPr>
            <w:r>
              <w:rPr>
                <w:lang w:eastAsia="en-US"/>
              </w:rPr>
              <w:t>612</w:t>
            </w:r>
          </w:p>
        </w:tc>
      </w:tr>
      <w:tr w:rsidR="0035442D" w14:paraId="10B3B182" w14:textId="77777777" w:rsidTr="00A7147E">
        <w:tc>
          <w:tcPr>
            <w:tcW w:w="2376" w:type="dxa"/>
          </w:tcPr>
          <w:p w14:paraId="2A2FB89F" w14:textId="77777777" w:rsidR="0035442D" w:rsidRDefault="0035442D" w:rsidP="00A7147E">
            <w:pPr>
              <w:spacing w:after="120"/>
              <w:rPr>
                <w:lang w:eastAsia="en-US"/>
              </w:rPr>
            </w:pPr>
            <w:r>
              <w:rPr>
                <w:lang w:eastAsia="en-US"/>
              </w:rPr>
              <w:t>Sunkieji metalai</w:t>
            </w:r>
          </w:p>
        </w:tc>
        <w:tc>
          <w:tcPr>
            <w:tcW w:w="1224" w:type="dxa"/>
          </w:tcPr>
          <w:p w14:paraId="03CA8442" w14:textId="77777777" w:rsidR="0035442D" w:rsidRDefault="0035442D" w:rsidP="00A7147E">
            <w:pPr>
              <w:spacing w:after="120"/>
              <w:jc w:val="center"/>
              <w:rPr>
                <w:lang w:eastAsia="en-US"/>
              </w:rPr>
            </w:pPr>
            <w:r>
              <w:rPr>
                <w:lang w:eastAsia="en-US"/>
              </w:rPr>
              <w:t>117</w:t>
            </w:r>
          </w:p>
        </w:tc>
        <w:tc>
          <w:tcPr>
            <w:tcW w:w="1276" w:type="dxa"/>
          </w:tcPr>
          <w:p w14:paraId="0B4078F3" w14:textId="77777777" w:rsidR="0035442D" w:rsidRDefault="0035442D" w:rsidP="00A7147E">
            <w:pPr>
              <w:spacing w:after="120"/>
              <w:jc w:val="center"/>
              <w:rPr>
                <w:lang w:eastAsia="en-US"/>
              </w:rPr>
            </w:pPr>
            <w:r>
              <w:rPr>
                <w:lang w:eastAsia="en-US"/>
              </w:rPr>
              <w:t>117</w:t>
            </w:r>
          </w:p>
        </w:tc>
        <w:tc>
          <w:tcPr>
            <w:tcW w:w="1134" w:type="dxa"/>
          </w:tcPr>
          <w:p w14:paraId="436CB2C2" w14:textId="77777777" w:rsidR="0035442D" w:rsidRDefault="0035442D" w:rsidP="00A7147E">
            <w:pPr>
              <w:spacing w:after="120"/>
              <w:jc w:val="center"/>
              <w:rPr>
                <w:lang w:eastAsia="en-US"/>
              </w:rPr>
            </w:pPr>
            <w:r>
              <w:rPr>
                <w:lang w:eastAsia="en-US"/>
              </w:rPr>
              <w:t>54</w:t>
            </w:r>
          </w:p>
        </w:tc>
        <w:tc>
          <w:tcPr>
            <w:tcW w:w="1186" w:type="dxa"/>
          </w:tcPr>
          <w:p w14:paraId="3C1283F5" w14:textId="77777777" w:rsidR="0035442D" w:rsidRDefault="0035442D" w:rsidP="00A7147E">
            <w:pPr>
              <w:spacing w:after="120"/>
              <w:jc w:val="center"/>
              <w:rPr>
                <w:lang w:eastAsia="en-US"/>
              </w:rPr>
            </w:pPr>
            <w:r>
              <w:rPr>
                <w:lang w:eastAsia="en-US"/>
              </w:rPr>
              <w:t>54</w:t>
            </w:r>
          </w:p>
        </w:tc>
        <w:tc>
          <w:tcPr>
            <w:tcW w:w="1056" w:type="dxa"/>
          </w:tcPr>
          <w:p w14:paraId="2D5D32C9" w14:textId="77777777" w:rsidR="0035442D" w:rsidRDefault="0035442D" w:rsidP="00A7147E">
            <w:pPr>
              <w:spacing w:after="120"/>
              <w:jc w:val="center"/>
              <w:rPr>
                <w:lang w:eastAsia="en-US"/>
              </w:rPr>
            </w:pPr>
            <w:r>
              <w:rPr>
                <w:lang w:eastAsia="en-US"/>
              </w:rPr>
              <w:t>42</w:t>
            </w:r>
          </w:p>
        </w:tc>
        <w:tc>
          <w:tcPr>
            <w:tcW w:w="1282" w:type="dxa"/>
          </w:tcPr>
          <w:p w14:paraId="6B720842" w14:textId="77777777" w:rsidR="0035442D" w:rsidRDefault="0035442D" w:rsidP="00A7147E">
            <w:pPr>
              <w:spacing w:after="120"/>
              <w:jc w:val="center"/>
              <w:rPr>
                <w:lang w:eastAsia="en-US"/>
              </w:rPr>
            </w:pPr>
            <w:r>
              <w:rPr>
                <w:lang w:eastAsia="en-US"/>
              </w:rPr>
              <w:t>44</w:t>
            </w:r>
          </w:p>
        </w:tc>
      </w:tr>
      <w:tr w:rsidR="0035442D" w14:paraId="1B431A41" w14:textId="77777777" w:rsidTr="00A7147E">
        <w:tc>
          <w:tcPr>
            <w:tcW w:w="2376" w:type="dxa"/>
          </w:tcPr>
          <w:p w14:paraId="58AD807F" w14:textId="77777777" w:rsidR="0035442D" w:rsidRDefault="0035442D" w:rsidP="00A7147E">
            <w:pPr>
              <w:spacing w:after="120"/>
              <w:rPr>
                <w:lang w:eastAsia="en-US"/>
              </w:rPr>
            </w:pPr>
            <w:r>
              <w:rPr>
                <w:lang w:eastAsia="en-US"/>
              </w:rPr>
              <w:t>Mikotoksinai</w:t>
            </w:r>
          </w:p>
        </w:tc>
        <w:tc>
          <w:tcPr>
            <w:tcW w:w="1224" w:type="dxa"/>
          </w:tcPr>
          <w:p w14:paraId="132771CA" w14:textId="77777777" w:rsidR="0035442D" w:rsidRDefault="0035442D" w:rsidP="00A7147E">
            <w:pPr>
              <w:spacing w:after="120"/>
              <w:jc w:val="center"/>
              <w:rPr>
                <w:lang w:eastAsia="en-US"/>
              </w:rPr>
            </w:pPr>
            <w:r>
              <w:rPr>
                <w:lang w:eastAsia="en-US"/>
              </w:rPr>
              <w:t>28</w:t>
            </w:r>
          </w:p>
        </w:tc>
        <w:tc>
          <w:tcPr>
            <w:tcW w:w="1276" w:type="dxa"/>
          </w:tcPr>
          <w:p w14:paraId="6B450A34" w14:textId="77777777" w:rsidR="0035442D" w:rsidRDefault="0035442D" w:rsidP="00A7147E">
            <w:pPr>
              <w:spacing w:after="120"/>
              <w:jc w:val="center"/>
              <w:rPr>
                <w:lang w:eastAsia="en-US"/>
              </w:rPr>
            </w:pPr>
            <w:r>
              <w:rPr>
                <w:lang w:eastAsia="en-US"/>
              </w:rPr>
              <w:t>32</w:t>
            </w:r>
          </w:p>
        </w:tc>
        <w:tc>
          <w:tcPr>
            <w:tcW w:w="1134" w:type="dxa"/>
          </w:tcPr>
          <w:p w14:paraId="52A55318" w14:textId="77777777" w:rsidR="0035442D" w:rsidRDefault="0035442D" w:rsidP="00A7147E">
            <w:pPr>
              <w:spacing w:after="120"/>
              <w:jc w:val="center"/>
              <w:rPr>
                <w:lang w:eastAsia="en-US"/>
              </w:rPr>
            </w:pPr>
            <w:r>
              <w:rPr>
                <w:lang w:eastAsia="en-US"/>
              </w:rPr>
              <w:t>101</w:t>
            </w:r>
          </w:p>
        </w:tc>
        <w:tc>
          <w:tcPr>
            <w:tcW w:w="1186" w:type="dxa"/>
          </w:tcPr>
          <w:p w14:paraId="2B719045" w14:textId="77777777" w:rsidR="0035442D" w:rsidRDefault="0035442D" w:rsidP="00A7147E">
            <w:pPr>
              <w:spacing w:after="120"/>
              <w:jc w:val="center"/>
              <w:rPr>
                <w:lang w:eastAsia="en-US"/>
              </w:rPr>
            </w:pPr>
            <w:r>
              <w:rPr>
                <w:lang w:eastAsia="en-US"/>
              </w:rPr>
              <w:t>98</w:t>
            </w:r>
          </w:p>
        </w:tc>
        <w:tc>
          <w:tcPr>
            <w:tcW w:w="1056" w:type="dxa"/>
          </w:tcPr>
          <w:p w14:paraId="3EB864A8" w14:textId="77777777" w:rsidR="0035442D" w:rsidRDefault="0035442D" w:rsidP="00A7147E">
            <w:pPr>
              <w:spacing w:after="120"/>
              <w:jc w:val="center"/>
              <w:rPr>
                <w:lang w:eastAsia="en-US"/>
              </w:rPr>
            </w:pPr>
            <w:r>
              <w:rPr>
                <w:lang w:eastAsia="en-US"/>
              </w:rPr>
              <w:t>100</w:t>
            </w:r>
          </w:p>
        </w:tc>
        <w:tc>
          <w:tcPr>
            <w:tcW w:w="1282" w:type="dxa"/>
          </w:tcPr>
          <w:p w14:paraId="42FA66B6" w14:textId="77777777" w:rsidR="0035442D" w:rsidRDefault="0035442D" w:rsidP="00A7147E">
            <w:pPr>
              <w:spacing w:after="120"/>
              <w:jc w:val="center"/>
              <w:rPr>
                <w:lang w:eastAsia="en-US"/>
              </w:rPr>
            </w:pPr>
            <w:r>
              <w:rPr>
                <w:lang w:eastAsia="en-US"/>
              </w:rPr>
              <w:t>101</w:t>
            </w:r>
          </w:p>
        </w:tc>
      </w:tr>
      <w:tr w:rsidR="0035442D" w14:paraId="709AD47D" w14:textId="77777777" w:rsidTr="00A7147E">
        <w:tc>
          <w:tcPr>
            <w:tcW w:w="2376" w:type="dxa"/>
          </w:tcPr>
          <w:p w14:paraId="7852E3AF" w14:textId="77777777" w:rsidR="0035442D" w:rsidRDefault="0035442D" w:rsidP="00A7147E">
            <w:pPr>
              <w:spacing w:after="120"/>
              <w:rPr>
                <w:lang w:eastAsia="en-US"/>
              </w:rPr>
            </w:pPr>
            <w:proofErr w:type="spellStart"/>
            <w:r>
              <w:rPr>
                <w:lang w:eastAsia="en-US"/>
              </w:rPr>
              <w:t>Furanas</w:t>
            </w:r>
            <w:proofErr w:type="spellEnd"/>
          </w:p>
        </w:tc>
        <w:tc>
          <w:tcPr>
            <w:tcW w:w="1224" w:type="dxa"/>
          </w:tcPr>
          <w:p w14:paraId="1EF5B9FF" w14:textId="77777777" w:rsidR="0035442D" w:rsidRDefault="0035442D" w:rsidP="00A7147E">
            <w:pPr>
              <w:spacing w:after="120"/>
              <w:jc w:val="center"/>
              <w:rPr>
                <w:lang w:eastAsia="en-US"/>
              </w:rPr>
            </w:pPr>
            <w:r>
              <w:rPr>
                <w:lang w:eastAsia="en-US"/>
              </w:rPr>
              <w:t>10</w:t>
            </w:r>
          </w:p>
        </w:tc>
        <w:tc>
          <w:tcPr>
            <w:tcW w:w="1276" w:type="dxa"/>
          </w:tcPr>
          <w:p w14:paraId="53ED2435" w14:textId="77777777" w:rsidR="0035442D" w:rsidRDefault="0035442D" w:rsidP="00A7147E">
            <w:pPr>
              <w:spacing w:after="120"/>
              <w:jc w:val="center"/>
              <w:rPr>
                <w:lang w:eastAsia="en-US"/>
              </w:rPr>
            </w:pPr>
            <w:r>
              <w:rPr>
                <w:lang w:eastAsia="en-US"/>
              </w:rPr>
              <w:t>10</w:t>
            </w:r>
          </w:p>
        </w:tc>
        <w:tc>
          <w:tcPr>
            <w:tcW w:w="1134" w:type="dxa"/>
          </w:tcPr>
          <w:p w14:paraId="4B92E46A" w14:textId="77777777" w:rsidR="0035442D" w:rsidRDefault="0035442D" w:rsidP="00A7147E">
            <w:pPr>
              <w:spacing w:after="120"/>
              <w:jc w:val="center"/>
              <w:rPr>
                <w:lang w:eastAsia="en-US"/>
              </w:rPr>
            </w:pPr>
            <w:r>
              <w:rPr>
                <w:lang w:eastAsia="en-US"/>
              </w:rPr>
              <w:t>8</w:t>
            </w:r>
          </w:p>
        </w:tc>
        <w:tc>
          <w:tcPr>
            <w:tcW w:w="1186" w:type="dxa"/>
          </w:tcPr>
          <w:p w14:paraId="5D518435" w14:textId="77777777" w:rsidR="0035442D" w:rsidRDefault="0035442D" w:rsidP="00A7147E">
            <w:pPr>
              <w:spacing w:after="120"/>
              <w:jc w:val="center"/>
              <w:rPr>
                <w:lang w:eastAsia="en-US"/>
              </w:rPr>
            </w:pPr>
            <w:r>
              <w:rPr>
                <w:lang w:eastAsia="en-US"/>
              </w:rPr>
              <w:t>8</w:t>
            </w:r>
          </w:p>
        </w:tc>
        <w:tc>
          <w:tcPr>
            <w:tcW w:w="1056" w:type="dxa"/>
          </w:tcPr>
          <w:p w14:paraId="1B49CCF5" w14:textId="77777777" w:rsidR="0035442D" w:rsidRDefault="0035442D" w:rsidP="00A7147E">
            <w:pPr>
              <w:spacing w:after="120"/>
              <w:jc w:val="center"/>
              <w:rPr>
                <w:lang w:eastAsia="en-US"/>
              </w:rPr>
            </w:pPr>
            <w:r>
              <w:rPr>
                <w:lang w:eastAsia="en-US"/>
              </w:rPr>
              <w:t>6</w:t>
            </w:r>
          </w:p>
        </w:tc>
        <w:tc>
          <w:tcPr>
            <w:tcW w:w="1282" w:type="dxa"/>
          </w:tcPr>
          <w:p w14:paraId="79489576" w14:textId="77777777" w:rsidR="0035442D" w:rsidRDefault="0035442D" w:rsidP="00A7147E">
            <w:pPr>
              <w:spacing w:after="120"/>
              <w:jc w:val="center"/>
              <w:rPr>
                <w:lang w:eastAsia="en-US"/>
              </w:rPr>
            </w:pPr>
            <w:r>
              <w:rPr>
                <w:lang w:eastAsia="en-US"/>
              </w:rPr>
              <w:t>6</w:t>
            </w:r>
          </w:p>
        </w:tc>
      </w:tr>
      <w:tr w:rsidR="0035442D" w14:paraId="60DA82DE" w14:textId="77777777" w:rsidTr="00A7147E">
        <w:tc>
          <w:tcPr>
            <w:tcW w:w="2376" w:type="dxa"/>
          </w:tcPr>
          <w:p w14:paraId="7ED6ACBA" w14:textId="77777777" w:rsidR="0035442D" w:rsidRDefault="0035442D" w:rsidP="00A7147E">
            <w:pPr>
              <w:spacing w:after="120"/>
              <w:rPr>
                <w:lang w:eastAsia="en-US"/>
              </w:rPr>
            </w:pPr>
            <w:r>
              <w:rPr>
                <w:lang w:eastAsia="en-US"/>
              </w:rPr>
              <w:t>Akrilamidas</w:t>
            </w:r>
          </w:p>
        </w:tc>
        <w:tc>
          <w:tcPr>
            <w:tcW w:w="1224" w:type="dxa"/>
          </w:tcPr>
          <w:p w14:paraId="0CAD5C60" w14:textId="77777777" w:rsidR="0035442D" w:rsidRDefault="0035442D" w:rsidP="00A7147E">
            <w:pPr>
              <w:spacing w:after="120"/>
              <w:jc w:val="center"/>
              <w:rPr>
                <w:lang w:eastAsia="en-US"/>
              </w:rPr>
            </w:pPr>
            <w:r>
              <w:rPr>
                <w:lang w:eastAsia="en-US"/>
              </w:rPr>
              <w:t>40</w:t>
            </w:r>
          </w:p>
        </w:tc>
        <w:tc>
          <w:tcPr>
            <w:tcW w:w="1276" w:type="dxa"/>
          </w:tcPr>
          <w:p w14:paraId="71BD8BA4" w14:textId="77777777" w:rsidR="0035442D" w:rsidRDefault="0035442D" w:rsidP="00A7147E">
            <w:pPr>
              <w:spacing w:after="120"/>
              <w:jc w:val="center"/>
              <w:rPr>
                <w:lang w:eastAsia="en-US"/>
              </w:rPr>
            </w:pPr>
            <w:r>
              <w:rPr>
                <w:lang w:eastAsia="en-US"/>
              </w:rPr>
              <w:t>42</w:t>
            </w:r>
          </w:p>
        </w:tc>
        <w:tc>
          <w:tcPr>
            <w:tcW w:w="1134" w:type="dxa"/>
          </w:tcPr>
          <w:p w14:paraId="0FA2F856" w14:textId="77777777" w:rsidR="0035442D" w:rsidRDefault="0035442D" w:rsidP="00A7147E">
            <w:pPr>
              <w:spacing w:after="120"/>
              <w:jc w:val="center"/>
              <w:rPr>
                <w:lang w:eastAsia="en-US"/>
              </w:rPr>
            </w:pPr>
            <w:r>
              <w:rPr>
                <w:lang w:eastAsia="en-US"/>
              </w:rPr>
              <w:t>21</w:t>
            </w:r>
          </w:p>
        </w:tc>
        <w:tc>
          <w:tcPr>
            <w:tcW w:w="1186" w:type="dxa"/>
          </w:tcPr>
          <w:p w14:paraId="7A1DA220" w14:textId="77777777" w:rsidR="0035442D" w:rsidRDefault="0035442D" w:rsidP="00A7147E">
            <w:pPr>
              <w:spacing w:after="120"/>
              <w:jc w:val="center"/>
              <w:rPr>
                <w:lang w:eastAsia="en-US"/>
              </w:rPr>
            </w:pPr>
            <w:r>
              <w:rPr>
                <w:lang w:eastAsia="en-US"/>
              </w:rPr>
              <w:t>21</w:t>
            </w:r>
          </w:p>
        </w:tc>
        <w:tc>
          <w:tcPr>
            <w:tcW w:w="1056" w:type="dxa"/>
          </w:tcPr>
          <w:p w14:paraId="5DE1B03E" w14:textId="77777777" w:rsidR="0035442D" w:rsidRDefault="0035442D" w:rsidP="00A7147E">
            <w:pPr>
              <w:spacing w:after="120"/>
              <w:jc w:val="center"/>
              <w:rPr>
                <w:lang w:eastAsia="en-US"/>
              </w:rPr>
            </w:pPr>
            <w:r>
              <w:rPr>
                <w:lang w:eastAsia="en-US"/>
              </w:rPr>
              <w:t>21</w:t>
            </w:r>
          </w:p>
        </w:tc>
        <w:tc>
          <w:tcPr>
            <w:tcW w:w="1282" w:type="dxa"/>
          </w:tcPr>
          <w:p w14:paraId="363315DD" w14:textId="77777777" w:rsidR="0035442D" w:rsidRDefault="0035442D" w:rsidP="00A7147E">
            <w:pPr>
              <w:spacing w:after="120"/>
              <w:jc w:val="center"/>
              <w:rPr>
                <w:lang w:eastAsia="en-US"/>
              </w:rPr>
            </w:pPr>
            <w:r>
              <w:rPr>
                <w:lang w:eastAsia="en-US"/>
              </w:rPr>
              <w:t>22</w:t>
            </w:r>
          </w:p>
        </w:tc>
      </w:tr>
      <w:tr w:rsidR="0035442D" w14:paraId="5BEFFEDE" w14:textId="77777777" w:rsidTr="00A7147E">
        <w:tc>
          <w:tcPr>
            <w:tcW w:w="2376" w:type="dxa"/>
          </w:tcPr>
          <w:p w14:paraId="39DB78B5" w14:textId="77777777" w:rsidR="0035442D" w:rsidRDefault="0035442D" w:rsidP="00A7147E">
            <w:pPr>
              <w:spacing w:after="120"/>
              <w:rPr>
                <w:lang w:eastAsia="en-US"/>
              </w:rPr>
            </w:pPr>
            <w:r>
              <w:rPr>
                <w:lang w:eastAsia="en-US"/>
              </w:rPr>
              <w:t>Nitratai</w:t>
            </w:r>
          </w:p>
        </w:tc>
        <w:tc>
          <w:tcPr>
            <w:tcW w:w="2500" w:type="dxa"/>
            <w:gridSpan w:val="2"/>
          </w:tcPr>
          <w:p w14:paraId="33B28D79" w14:textId="77777777" w:rsidR="0035442D" w:rsidRDefault="0035442D" w:rsidP="00A7147E">
            <w:pPr>
              <w:spacing w:after="120"/>
              <w:jc w:val="center"/>
              <w:rPr>
                <w:lang w:eastAsia="en-US"/>
              </w:rPr>
            </w:pPr>
            <w:r>
              <w:rPr>
                <w:lang w:eastAsia="en-US"/>
              </w:rPr>
              <w:t>Netirta</w:t>
            </w:r>
          </w:p>
        </w:tc>
        <w:tc>
          <w:tcPr>
            <w:tcW w:w="1134" w:type="dxa"/>
          </w:tcPr>
          <w:p w14:paraId="63EA2D00" w14:textId="77777777" w:rsidR="0035442D" w:rsidRDefault="0035442D" w:rsidP="00A7147E">
            <w:pPr>
              <w:spacing w:after="120"/>
              <w:jc w:val="center"/>
              <w:rPr>
                <w:lang w:eastAsia="en-US"/>
              </w:rPr>
            </w:pPr>
            <w:r>
              <w:rPr>
                <w:lang w:eastAsia="en-US"/>
              </w:rPr>
              <w:t>8</w:t>
            </w:r>
          </w:p>
        </w:tc>
        <w:tc>
          <w:tcPr>
            <w:tcW w:w="1186" w:type="dxa"/>
          </w:tcPr>
          <w:p w14:paraId="29CD553C" w14:textId="77777777" w:rsidR="0035442D" w:rsidRDefault="0035442D" w:rsidP="00A7147E">
            <w:pPr>
              <w:spacing w:after="120"/>
              <w:jc w:val="center"/>
              <w:rPr>
                <w:lang w:eastAsia="en-US"/>
              </w:rPr>
            </w:pPr>
            <w:r>
              <w:rPr>
                <w:lang w:eastAsia="en-US"/>
              </w:rPr>
              <w:t>6</w:t>
            </w:r>
          </w:p>
        </w:tc>
        <w:tc>
          <w:tcPr>
            <w:tcW w:w="1056" w:type="dxa"/>
          </w:tcPr>
          <w:p w14:paraId="454B986B" w14:textId="77777777" w:rsidR="0035442D" w:rsidRDefault="0035442D" w:rsidP="00A7147E">
            <w:pPr>
              <w:spacing w:after="120"/>
              <w:jc w:val="center"/>
              <w:rPr>
                <w:lang w:eastAsia="en-US"/>
              </w:rPr>
            </w:pPr>
            <w:r>
              <w:rPr>
                <w:lang w:eastAsia="en-US"/>
              </w:rPr>
              <w:t>13</w:t>
            </w:r>
          </w:p>
        </w:tc>
        <w:tc>
          <w:tcPr>
            <w:tcW w:w="1282" w:type="dxa"/>
          </w:tcPr>
          <w:p w14:paraId="00230E80" w14:textId="77777777" w:rsidR="0035442D" w:rsidRDefault="0035442D" w:rsidP="00A7147E">
            <w:pPr>
              <w:spacing w:after="120"/>
              <w:jc w:val="center"/>
              <w:rPr>
                <w:lang w:eastAsia="en-US"/>
              </w:rPr>
            </w:pPr>
            <w:r>
              <w:rPr>
                <w:lang w:eastAsia="en-US"/>
              </w:rPr>
              <w:t>13</w:t>
            </w:r>
          </w:p>
        </w:tc>
      </w:tr>
      <w:tr w:rsidR="0035442D" w14:paraId="3F79FDE0" w14:textId="77777777" w:rsidTr="00A7147E">
        <w:tc>
          <w:tcPr>
            <w:tcW w:w="2376" w:type="dxa"/>
          </w:tcPr>
          <w:p w14:paraId="21117799" w14:textId="77777777" w:rsidR="0035442D" w:rsidRDefault="0035442D" w:rsidP="00A7147E">
            <w:pPr>
              <w:spacing w:after="120"/>
              <w:rPr>
                <w:lang w:eastAsia="en-US"/>
              </w:rPr>
            </w:pPr>
            <w:r>
              <w:rPr>
                <w:lang w:eastAsia="en-US"/>
              </w:rPr>
              <w:t>PAA*</w:t>
            </w:r>
          </w:p>
        </w:tc>
        <w:tc>
          <w:tcPr>
            <w:tcW w:w="2500" w:type="dxa"/>
            <w:gridSpan w:val="2"/>
          </w:tcPr>
          <w:p w14:paraId="3625EE7E" w14:textId="77777777" w:rsidR="0035442D" w:rsidRDefault="0035442D" w:rsidP="00A7147E">
            <w:pPr>
              <w:spacing w:after="120"/>
              <w:jc w:val="center"/>
              <w:rPr>
                <w:lang w:eastAsia="en-US"/>
              </w:rPr>
            </w:pPr>
            <w:r>
              <w:rPr>
                <w:lang w:eastAsia="en-US"/>
              </w:rPr>
              <w:t>Netirta</w:t>
            </w:r>
          </w:p>
        </w:tc>
        <w:tc>
          <w:tcPr>
            <w:tcW w:w="1134" w:type="dxa"/>
          </w:tcPr>
          <w:p w14:paraId="683B1D4E" w14:textId="77777777" w:rsidR="0035442D" w:rsidRDefault="0035442D" w:rsidP="00A7147E">
            <w:pPr>
              <w:spacing w:after="120"/>
              <w:jc w:val="center"/>
              <w:rPr>
                <w:lang w:eastAsia="en-US"/>
              </w:rPr>
            </w:pPr>
            <w:r>
              <w:rPr>
                <w:lang w:eastAsia="en-US"/>
              </w:rPr>
              <w:t>23</w:t>
            </w:r>
          </w:p>
        </w:tc>
        <w:tc>
          <w:tcPr>
            <w:tcW w:w="1186" w:type="dxa"/>
          </w:tcPr>
          <w:p w14:paraId="3EE028C1" w14:textId="77777777" w:rsidR="0035442D" w:rsidRDefault="0035442D" w:rsidP="00A7147E">
            <w:pPr>
              <w:spacing w:after="120"/>
              <w:jc w:val="center"/>
              <w:rPr>
                <w:lang w:eastAsia="en-US"/>
              </w:rPr>
            </w:pPr>
            <w:r>
              <w:rPr>
                <w:lang w:eastAsia="en-US"/>
              </w:rPr>
              <w:t>22</w:t>
            </w:r>
          </w:p>
        </w:tc>
        <w:tc>
          <w:tcPr>
            <w:tcW w:w="1056" w:type="dxa"/>
          </w:tcPr>
          <w:p w14:paraId="388851C6" w14:textId="77777777" w:rsidR="0035442D" w:rsidRDefault="0035442D" w:rsidP="00A7147E">
            <w:pPr>
              <w:spacing w:after="120"/>
              <w:jc w:val="center"/>
              <w:rPr>
                <w:lang w:eastAsia="en-US"/>
              </w:rPr>
            </w:pPr>
            <w:r>
              <w:rPr>
                <w:lang w:eastAsia="en-US"/>
              </w:rPr>
              <w:t>17</w:t>
            </w:r>
          </w:p>
        </w:tc>
        <w:tc>
          <w:tcPr>
            <w:tcW w:w="1282" w:type="dxa"/>
          </w:tcPr>
          <w:p w14:paraId="60B5F4B7" w14:textId="77777777" w:rsidR="0035442D" w:rsidRDefault="0035442D" w:rsidP="00A7147E">
            <w:pPr>
              <w:spacing w:after="120"/>
              <w:jc w:val="center"/>
              <w:rPr>
                <w:lang w:eastAsia="en-US"/>
              </w:rPr>
            </w:pPr>
            <w:r>
              <w:rPr>
                <w:lang w:eastAsia="en-US"/>
              </w:rPr>
              <w:t>17</w:t>
            </w:r>
          </w:p>
        </w:tc>
      </w:tr>
      <w:tr w:rsidR="0035442D" w14:paraId="003B0111" w14:textId="77777777" w:rsidTr="00A7147E">
        <w:tc>
          <w:tcPr>
            <w:tcW w:w="2376" w:type="dxa"/>
          </w:tcPr>
          <w:p w14:paraId="460D5BB5" w14:textId="77777777" w:rsidR="0035442D" w:rsidRDefault="0035442D" w:rsidP="00A7147E">
            <w:pPr>
              <w:spacing w:after="120"/>
              <w:rPr>
                <w:lang w:eastAsia="en-US"/>
              </w:rPr>
            </w:pPr>
            <w:r>
              <w:rPr>
                <w:lang w:eastAsia="en-US"/>
              </w:rPr>
              <w:t>3-MCPD</w:t>
            </w:r>
          </w:p>
        </w:tc>
        <w:tc>
          <w:tcPr>
            <w:tcW w:w="2500" w:type="dxa"/>
            <w:gridSpan w:val="2"/>
          </w:tcPr>
          <w:p w14:paraId="098406B9" w14:textId="77777777" w:rsidR="0035442D" w:rsidRDefault="0035442D" w:rsidP="00A7147E">
            <w:pPr>
              <w:spacing w:after="120"/>
              <w:jc w:val="center"/>
              <w:rPr>
                <w:lang w:eastAsia="en-US"/>
              </w:rPr>
            </w:pPr>
            <w:r>
              <w:rPr>
                <w:lang w:eastAsia="en-US"/>
              </w:rPr>
              <w:t xml:space="preserve">Netirta </w:t>
            </w:r>
          </w:p>
        </w:tc>
        <w:tc>
          <w:tcPr>
            <w:tcW w:w="1134" w:type="dxa"/>
          </w:tcPr>
          <w:p w14:paraId="2902A420" w14:textId="77777777" w:rsidR="0035442D" w:rsidRDefault="0035442D" w:rsidP="00A7147E">
            <w:pPr>
              <w:spacing w:after="120"/>
              <w:jc w:val="center"/>
              <w:rPr>
                <w:lang w:eastAsia="en-US"/>
              </w:rPr>
            </w:pPr>
            <w:r>
              <w:rPr>
                <w:lang w:eastAsia="en-US"/>
              </w:rPr>
              <w:t>6</w:t>
            </w:r>
          </w:p>
        </w:tc>
        <w:tc>
          <w:tcPr>
            <w:tcW w:w="1186" w:type="dxa"/>
          </w:tcPr>
          <w:p w14:paraId="655F2CF3" w14:textId="77777777" w:rsidR="0035442D" w:rsidRDefault="0035442D" w:rsidP="00A7147E">
            <w:pPr>
              <w:spacing w:after="120"/>
              <w:jc w:val="center"/>
              <w:rPr>
                <w:lang w:eastAsia="en-US"/>
              </w:rPr>
            </w:pPr>
            <w:r>
              <w:rPr>
                <w:lang w:eastAsia="en-US"/>
              </w:rPr>
              <w:t>5</w:t>
            </w:r>
          </w:p>
        </w:tc>
        <w:tc>
          <w:tcPr>
            <w:tcW w:w="1056" w:type="dxa"/>
          </w:tcPr>
          <w:p w14:paraId="0F4C5181" w14:textId="77777777" w:rsidR="0035442D" w:rsidRDefault="0035442D" w:rsidP="00A7147E">
            <w:pPr>
              <w:spacing w:after="120"/>
              <w:jc w:val="center"/>
              <w:rPr>
                <w:lang w:eastAsia="en-US"/>
              </w:rPr>
            </w:pPr>
            <w:r>
              <w:rPr>
                <w:lang w:eastAsia="en-US"/>
              </w:rPr>
              <w:t>5</w:t>
            </w:r>
          </w:p>
        </w:tc>
        <w:tc>
          <w:tcPr>
            <w:tcW w:w="1282" w:type="dxa"/>
          </w:tcPr>
          <w:p w14:paraId="7DDF7290" w14:textId="77777777" w:rsidR="0035442D" w:rsidRDefault="0035442D" w:rsidP="00A7147E">
            <w:pPr>
              <w:spacing w:after="120"/>
              <w:jc w:val="center"/>
              <w:rPr>
                <w:lang w:eastAsia="en-US"/>
              </w:rPr>
            </w:pPr>
            <w:r>
              <w:rPr>
                <w:lang w:eastAsia="en-US"/>
              </w:rPr>
              <w:t>5</w:t>
            </w:r>
          </w:p>
        </w:tc>
      </w:tr>
      <w:tr w:rsidR="0035442D" w14:paraId="2559123A" w14:textId="77777777" w:rsidTr="00A7147E">
        <w:tc>
          <w:tcPr>
            <w:tcW w:w="2376" w:type="dxa"/>
          </w:tcPr>
          <w:p w14:paraId="72A49B4D" w14:textId="77777777" w:rsidR="0035442D" w:rsidRDefault="0035442D" w:rsidP="00A7147E">
            <w:pPr>
              <w:spacing w:after="120"/>
              <w:rPr>
                <w:lang w:eastAsia="en-US"/>
              </w:rPr>
            </w:pPr>
            <w:proofErr w:type="spellStart"/>
            <w:r>
              <w:rPr>
                <w:lang w:eastAsia="en-US"/>
              </w:rPr>
              <w:t>Chroratas</w:t>
            </w:r>
            <w:proofErr w:type="spellEnd"/>
          </w:p>
        </w:tc>
        <w:tc>
          <w:tcPr>
            <w:tcW w:w="2500" w:type="dxa"/>
            <w:gridSpan w:val="2"/>
          </w:tcPr>
          <w:p w14:paraId="2FE6C6AC" w14:textId="77777777" w:rsidR="0035442D" w:rsidRDefault="0035442D" w:rsidP="00A7147E">
            <w:pPr>
              <w:spacing w:after="120"/>
              <w:jc w:val="center"/>
              <w:rPr>
                <w:lang w:eastAsia="en-US"/>
              </w:rPr>
            </w:pPr>
            <w:r>
              <w:rPr>
                <w:lang w:eastAsia="en-US"/>
              </w:rPr>
              <w:t xml:space="preserve">Netirta </w:t>
            </w:r>
          </w:p>
        </w:tc>
        <w:tc>
          <w:tcPr>
            <w:tcW w:w="2320" w:type="dxa"/>
            <w:gridSpan w:val="2"/>
          </w:tcPr>
          <w:p w14:paraId="43607359" w14:textId="77777777" w:rsidR="0035442D" w:rsidRDefault="0035442D" w:rsidP="00A7147E">
            <w:pPr>
              <w:spacing w:after="120"/>
              <w:jc w:val="center"/>
              <w:rPr>
                <w:lang w:eastAsia="en-US"/>
              </w:rPr>
            </w:pPr>
            <w:r>
              <w:rPr>
                <w:lang w:eastAsia="en-US"/>
              </w:rPr>
              <w:t>Netirta</w:t>
            </w:r>
          </w:p>
        </w:tc>
        <w:tc>
          <w:tcPr>
            <w:tcW w:w="1056" w:type="dxa"/>
          </w:tcPr>
          <w:p w14:paraId="66360661" w14:textId="77777777" w:rsidR="0035442D" w:rsidRDefault="0035442D" w:rsidP="00A7147E">
            <w:pPr>
              <w:spacing w:after="120"/>
              <w:jc w:val="center"/>
              <w:rPr>
                <w:lang w:eastAsia="en-US"/>
              </w:rPr>
            </w:pPr>
            <w:r>
              <w:rPr>
                <w:lang w:eastAsia="en-US"/>
              </w:rPr>
              <w:t>9</w:t>
            </w:r>
          </w:p>
        </w:tc>
        <w:tc>
          <w:tcPr>
            <w:tcW w:w="1282" w:type="dxa"/>
          </w:tcPr>
          <w:p w14:paraId="419FAA67" w14:textId="77777777" w:rsidR="0035442D" w:rsidRDefault="0035442D" w:rsidP="00A7147E">
            <w:pPr>
              <w:spacing w:after="120"/>
              <w:jc w:val="center"/>
              <w:rPr>
                <w:lang w:eastAsia="en-US"/>
              </w:rPr>
            </w:pPr>
            <w:r>
              <w:rPr>
                <w:lang w:eastAsia="en-US"/>
              </w:rPr>
              <w:t>9</w:t>
            </w:r>
          </w:p>
        </w:tc>
      </w:tr>
      <w:tr w:rsidR="0035442D" w14:paraId="4E3C0421" w14:textId="77777777" w:rsidTr="00A7147E">
        <w:tc>
          <w:tcPr>
            <w:tcW w:w="2376" w:type="dxa"/>
            <w:shd w:val="clear" w:color="auto" w:fill="E5B8B7" w:themeFill="accent2" w:themeFillTint="66"/>
          </w:tcPr>
          <w:p w14:paraId="651D089F" w14:textId="77777777" w:rsidR="0035442D" w:rsidRDefault="0035442D" w:rsidP="00A7147E">
            <w:pPr>
              <w:spacing w:after="120"/>
              <w:rPr>
                <w:lang w:eastAsia="en-US"/>
              </w:rPr>
            </w:pPr>
            <w:r>
              <w:rPr>
                <w:lang w:eastAsia="en-US"/>
              </w:rPr>
              <w:t>NUSTATYTA NEATITIKIMŲ</w:t>
            </w:r>
          </w:p>
        </w:tc>
        <w:tc>
          <w:tcPr>
            <w:tcW w:w="1224" w:type="dxa"/>
            <w:shd w:val="clear" w:color="auto" w:fill="E5B8B7" w:themeFill="accent2" w:themeFillTint="66"/>
          </w:tcPr>
          <w:p w14:paraId="25E09587" w14:textId="77777777" w:rsidR="0035442D" w:rsidRDefault="0035442D" w:rsidP="00A7147E">
            <w:pPr>
              <w:spacing w:after="120"/>
              <w:jc w:val="center"/>
              <w:rPr>
                <w:lang w:eastAsia="en-US"/>
              </w:rPr>
            </w:pPr>
          </w:p>
        </w:tc>
        <w:tc>
          <w:tcPr>
            <w:tcW w:w="1276" w:type="dxa"/>
            <w:shd w:val="clear" w:color="auto" w:fill="E5B8B7" w:themeFill="accent2" w:themeFillTint="66"/>
          </w:tcPr>
          <w:p w14:paraId="33D526BF" w14:textId="77777777" w:rsidR="0035442D" w:rsidRDefault="0035442D" w:rsidP="00A7147E">
            <w:pPr>
              <w:spacing w:after="120"/>
              <w:jc w:val="center"/>
              <w:rPr>
                <w:lang w:eastAsia="en-US"/>
              </w:rPr>
            </w:pPr>
            <w:r>
              <w:rPr>
                <w:lang w:eastAsia="en-US"/>
              </w:rPr>
              <w:t>4</w:t>
            </w:r>
          </w:p>
        </w:tc>
        <w:tc>
          <w:tcPr>
            <w:tcW w:w="1134" w:type="dxa"/>
            <w:shd w:val="clear" w:color="auto" w:fill="E5B8B7" w:themeFill="accent2" w:themeFillTint="66"/>
          </w:tcPr>
          <w:p w14:paraId="133C4AE6" w14:textId="77777777" w:rsidR="0035442D" w:rsidRDefault="0035442D" w:rsidP="00A7147E">
            <w:pPr>
              <w:spacing w:after="120"/>
              <w:jc w:val="center"/>
              <w:rPr>
                <w:lang w:eastAsia="en-US"/>
              </w:rPr>
            </w:pPr>
          </w:p>
        </w:tc>
        <w:tc>
          <w:tcPr>
            <w:tcW w:w="1186" w:type="dxa"/>
            <w:shd w:val="clear" w:color="auto" w:fill="E5B8B7" w:themeFill="accent2" w:themeFillTint="66"/>
          </w:tcPr>
          <w:p w14:paraId="0B122769" w14:textId="77777777" w:rsidR="0035442D" w:rsidRDefault="0035442D" w:rsidP="00A7147E">
            <w:pPr>
              <w:spacing w:after="120"/>
              <w:jc w:val="center"/>
              <w:rPr>
                <w:lang w:eastAsia="en-US"/>
              </w:rPr>
            </w:pPr>
            <w:r>
              <w:rPr>
                <w:lang w:eastAsia="en-US"/>
              </w:rPr>
              <w:t>11</w:t>
            </w:r>
          </w:p>
        </w:tc>
        <w:tc>
          <w:tcPr>
            <w:tcW w:w="1056" w:type="dxa"/>
            <w:shd w:val="clear" w:color="auto" w:fill="E5B8B7" w:themeFill="accent2" w:themeFillTint="66"/>
          </w:tcPr>
          <w:p w14:paraId="527E900E" w14:textId="77777777" w:rsidR="0035442D" w:rsidRDefault="0035442D" w:rsidP="00A7147E">
            <w:pPr>
              <w:spacing w:after="120"/>
              <w:jc w:val="center"/>
              <w:rPr>
                <w:lang w:eastAsia="en-US"/>
              </w:rPr>
            </w:pPr>
          </w:p>
        </w:tc>
        <w:tc>
          <w:tcPr>
            <w:tcW w:w="1282" w:type="dxa"/>
            <w:shd w:val="clear" w:color="auto" w:fill="E5B8B7" w:themeFill="accent2" w:themeFillTint="66"/>
          </w:tcPr>
          <w:p w14:paraId="5C6949AB" w14:textId="77777777" w:rsidR="0035442D" w:rsidRDefault="0035442D" w:rsidP="00A7147E">
            <w:pPr>
              <w:spacing w:after="120"/>
              <w:jc w:val="center"/>
              <w:rPr>
                <w:lang w:eastAsia="en-US"/>
              </w:rPr>
            </w:pPr>
            <w:r>
              <w:rPr>
                <w:lang w:eastAsia="en-US"/>
              </w:rPr>
              <w:t>8</w:t>
            </w:r>
          </w:p>
        </w:tc>
      </w:tr>
    </w:tbl>
    <w:p w14:paraId="6F774C1D" w14:textId="77777777" w:rsidR="0035442D" w:rsidRDefault="0035442D" w:rsidP="0035442D">
      <w:pPr>
        <w:ind w:firstLine="567"/>
        <w:jc w:val="both"/>
        <w:rPr>
          <w:lang w:eastAsia="en-US"/>
        </w:rPr>
      </w:pPr>
      <w:r>
        <w:rPr>
          <w:lang w:eastAsia="en-US"/>
        </w:rPr>
        <w:t>*Policikliniai aromatiniai angliavandeniliai</w:t>
      </w:r>
    </w:p>
    <w:p w14:paraId="4EAFE47A" w14:textId="77777777" w:rsidR="0035442D" w:rsidRDefault="0035442D" w:rsidP="0035442D">
      <w:pPr>
        <w:ind w:firstLine="567"/>
        <w:jc w:val="both"/>
        <w:rPr>
          <w:lang w:eastAsia="en-US"/>
        </w:rPr>
      </w:pPr>
    </w:p>
    <w:p w14:paraId="4CDD048C" w14:textId="77777777" w:rsidR="0035442D" w:rsidRDefault="0035442D" w:rsidP="0035442D">
      <w:pPr>
        <w:ind w:firstLine="567"/>
        <w:jc w:val="both"/>
        <w:rPr>
          <w:lang w:eastAsia="en-US"/>
        </w:rPr>
      </w:pPr>
    </w:p>
    <w:p w14:paraId="56043BBC" w14:textId="77777777" w:rsidR="0035442D" w:rsidRDefault="0035442D" w:rsidP="0035442D">
      <w:pPr>
        <w:jc w:val="both"/>
        <w:rPr>
          <w:lang w:eastAsia="en-US"/>
        </w:rPr>
      </w:pPr>
      <w:r>
        <w:rPr>
          <w:lang w:eastAsia="en-US"/>
        </w:rPr>
        <w:t>2015 m. plano analizė</w:t>
      </w:r>
    </w:p>
    <w:p w14:paraId="7B748312" w14:textId="77777777" w:rsidR="0035442D" w:rsidRDefault="0035442D" w:rsidP="0035442D">
      <w:pPr>
        <w:jc w:val="both"/>
        <w:rPr>
          <w:lang w:eastAsia="en-US"/>
        </w:rPr>
      </w:pPr>
    </w:p>
    <w:p w14:paraId="3FD53955" w14:textId="77777777" w:rsidR="0035442D" w:rsidRPr="00401728" w:rsidRDefault="0035442D" w:rsidP="0035442D">
      <w:pPr>
        <w:ind w:firstLine="567"/>
        <w:rPr>
          <w:b/>
          <w:bCs/>
          <w:lang w:eastAsia="en-US"/>
        </w:rPr>
      </w:pPr>
      <w:r>
        <w:rPr>
          <w:b/>
          <w:bCs/>
          <w:lang w:eastAsia="en-US"/>
        </w:rPr>
        <w:t xml:space="preserve">12 pav. </w:t>
      </w:r>
      <w:r w:rsidRPr="00942CC1">
        <w:rPr>
          <w:b/>
          <w:bCs/>
          <w:lang w:eastAsia="en-US"/>
        </w:rPr>
        <w:t>Valstybinė maisto tarš</w:t>
      </w:r>
      <w:r>
        <w:rPr>
          <w:b/>
          <w:bCs/>
          <w:lang w:eastAsia="en-US"/>
        </w:rPr>
        <w:t>os stebėsenos plano įgyvendinimo dinamika 2008-2015</w:t>
      </w:r>
      <w:r w:rsidRPr="00942CC1">
        <w:rPr>
          <w:b/>
          <w:bCs/>
          <w:lang w:eastAsia="en-US"/>
        </w:rPr>
        <w:t xml:space="preserve"> m.</w:t>
      </w:r>
    </w:p>
    <w:p w14:paraId="72054C04" w14:textId="77777777" w:rsidR="0035442D" w:rsidRPr="00942CC1" w:rsidRDefault="0035442D" w:rsidP="0035442D">
      <w:pPr>
        <w:jc w:val="both"/>
        <w:rPr>
          <w:lang w:eastAsia="en-US"/>
        </w:rPr>
      </w:pPr>
      <w:r>
        <w:rPr>
          <w:noProof/>
        </w:rPr>
        <w:lastRenderedPageBreak/>
        <w:drawing>
          <wp:inline distT="0" distB="0" distL="0" distR="0" wp14:anchorId="281354AF" wp14:editId="08A472B4">
            <wp:extent cx="6120130" cy="3561484"/>
            <wp:effectExtent l="0" t="0" r="13970" b="2032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04222FF" w14:textId="77777777" w:rsidR="0035442D" w:rsidRPr="001C7B0A" w:rsidRDefault="0035442D" w:rsidP="0035442D">
      <w:pPr>
        <w:ind w:firstLine="567"/>
        <w:jc w:val="both"/>
      </w:pPr>
      <w:r>
        <w:rPr>
          <w:lang w:eastAsia="en-US"/>
        </w:rPr>
        <w:t>Iš ištirtų 829 mėginių teršalų nerasta 335 mėginyje (40,4 %). Iš ištirtų 612 mėginių pesticidų likučiams nustatyti pesticidų likučių nerasta 318 mėginyje arba 52%, tai tas pats kas 2014 m. vertinant procentinę išraišką. Šiais metais ištirti 8 mėginiai, kuriuose teršalų kiekiai viršijo didžiausius teisės aktuose numatytus kiekius arba orientacines vertes.</w:t>
      </w:r>
      <w:r w:rsidRPr="00B4669D">
        <w:rPr>
          <w:lang w:eastAsia="en-US"/>
        </w:rPr>
        <w:t xml:space="preserve"> Kepintose saulėgrąžose , kurių kilmės šalis Italija, buvo</w:t>
      </w:r>
      <w:r>
        <w:rPr>
          <w:lang w:eastAsia="en-US"/>
        </w:rPr>
        <w:t xml:space="preserve"> </w:t>
      </w:r>
      <w:r w:rsidRPr="00B4669D">
        <w:rPr>
          <w:lang w:eastAsia="en-US"/>
        </w:rPr>
        <w:t xml:space="preserve">nustatytas </w:t>
      </w:r>
      <w:r w:rsidRPr="00B4669D">
        <w:t>kadmio kiekis 0,25 +/- 0,02 mg/kg, tačiau atlikus rizikos vertinimą gauta, nustatytas sunkiojo metalo kiekis produkte rizikos vartotojų sveikatai nekelia.</w:t>
      </w:r>
      <w:r>
        <w:t xml:space="preserve"> Taip pat ant grotelių kepto bekono skonio bulvių traškučiuose buvo nustatytas akrilamido </w:t>
      </w:r>
      <w:r w:rsidRPr="001C7B0A">
        <w:t>kiekis</w:t>
      </w:r>
      <w:r>
        <w:t xml:space="preserve"> viršijantis rekomendacijoje pateiktą orientacinę vertę, tačiau atlikus rizikos vertinimą</w:t>
      </w:r>
    </w:p>
    <w:p w14:paraId="1445800F" w14:textId="77777777" w:rsidR="0035442D" w:rsidRPr="001C7B0A" w:rsidRDefault="0035442D" w:rsidP="0035442D">
      <w:pPr>
        <w:jc w:val="both"/>
      </w:pPr>
      <w:r>
        <w:t xml:space="preserve">Nustatyta, kad produktas </w:t>
      </w:r>
      <w:r w:rsidRPr="00B4669D">
        <w:t>rizikos vartotojų sveikatai nekelia</w:t>
      </w:r>
      <w:r>
        <w:t>.</w:t>
      </w:r>
    </w:p>
    <w:p w14:paraId="494E76BF" w14:textId="77777777" w:rsidR="0035442D" w:rsidRDefault="0035442D" w:rsidP="0035442D">
      <w:pPr>
        <w:tabs>
          <w:tab w:val="left" w:pos="700"/>
        </w:tabs>
        <w:ind w:firstLine="567"/>
        <w:jc w:val="both"/>
        <w:rPr>
          <w:lang w:eastAsia="en-US"/>
        </w:rPr>
      </w:pPr>
      <w:r>
        <w:rPr>
          <w:lang w:eastAsia="en-US"/>
        </w:rPr>
        <w:t xml:space="preserve">Neatitinkantys teisės aktų reikalavimų teršalų likučiai taip pat nustatyti: ekologiškuose ruginiuose miltuose iš Lietuvos – 2 mėginiai, kuriuose nustatyti pesticidų likučiai, ekologiniuose ryžiuose iš Kinijos, nustatyti pesticidų likučiai, arbatos ekstrakte iš Kinijos pesticidų likučiai, </w:t>
      </w:r>
      <w:proofErr w:type="spellStart"/>
      <w:r>
        <w:rPr>
          <w:lang w:eastAsia="en-US"/>
        </w:rPr>
        <w:t>margainio</w:t>
      </w:r>
      <w:proofErr w:type="spellEnd"/>
      <w:r>
        <w:rPr>
          <w:lang w:eastAsia="en-US"/>
        </w:rPr>
        <w:t xml:space="preserve"> aliejuje iš Lietuvos policiklinių aromatinių angliavandenilių likučiai, Žaliojoje arbatoje iš Rusijos, pesticidų likučiai.</w:t>
      </w:r>
    </w:p>
    <w:p w14:paraId="622E592C" w14:textId="77777777" w:rsidR="0035442D" w:rsidRDefault="0035442D" w:rsidP="0035442D">
      <w:pPr>
        <w:tabs>
          <w:tab w:val="left" w:pos="700"/>
        </w:tabs>
        <w:ind w:firstLine="567"/>
        <w:jc w:val="both"/>
        <w:rPr>
          <w:lang w:eastAsia="en-US"/>
        </w:rPr>
      </w:pPr>
      <w:r>
        <w:rPr>
          <w:lang w:eastAsia="en-US"/>
        </w:rPr>
        <w:t xml:space="preserve">2015 m. atsižvelgiant į Europos Komisijos (toliau - EK) rekomendacijas į taršos stebėsenos planą buvo įtraukti augalinio maisto produktai </w:t>
      </w:r>
      <w:proofErr w:type="spellStart"/>
      <w:r>
        <w:rPr>
          <w:lang w:eastAsia="en-US"/>
        </w:rPr>
        <w:t>chlorato</w:t>
      </w:r>
      <w:proofErr w:type="spellEnd"/>
      <w:r>
        <w:rPr>
          <w:lang w:eastAsia="en-US"/>
        </w:rPr>
        <w:t xml:space="preserve"> kiekio stebėsenai vykdyti. Buvo ištirta 9 mėginiai šviežių vaisių ir daržovių. Kadangi 2014-2015 m. I pusm. Nebuvo tiksliai žinoma, kokia priežastis </w:t>
      </w:r>
      <w:proofErr w:type="spellStart"/>
      <w:r>
        <w:rPr>
          <w:lang w:eastAsia="en-US"/>
        </w:rPr>
        <w:t>chlorato</w:t>
      </w:r>
      <w:proofErr w:type="spellEnd"/>
      <w:r>
        <w:rPr>
          <w:lang w:eastAsia="en-US"/>
        </w:rPr>
        <w:t xml:space="preserve"> aptikimo ant vaisių ir daržovių priežastis, buvo siūloma tirti produktus, kurie galimai rinkai tiekiami plauti. Visi mėginiai atitiko teisės aktų reikalavimus.</w:t>
      </w:r>
    </w:p>
    <w:p w14:paraId="271FDA62" w14:textId="77777777" w:rsidR="0035442D" w:rsidRDefault="0035442D" w:rsidP="0035442D">
      <w:pPr>
        <w:tabs>
          <w:tab w:val="left" w:pos="700"/>
        </w:tabs>
        <w:ind w:firstLine="567"/>
        <w:jc w:val="both"/>
        <w:rPr>
          <w:lang w:eastAsia="en-US"/>
        </w:rPr>
      </w:pPr>
      <w:r>
        <w:rPr>
          <w:lang w:eastAsia="en-US"/>
        </w:rPr>
        <w:t xml:space="preserve"> Taip pat vadovaujantis 2012 m. kovo 15 d. EK rekomendacija 2012/154/ES 2015 m. plane įtraukti 7 skalsių alkaloidų grūduose ir grūdų produktuose tyrimai. Buvo ištirti rugiai, kvietrugiai, žieminiai ir vasariniai kviečiai. Kiekiai neviršijantys rekomenduojamų kiekių nustatyti tik rugiuose ir kvietrugiuose. Kituose produktuose skalsių alkaloidų kiekis buvo žemiau aptikimo ribos.</w:t>
      </w:r>
    </w:p>
    <w:p w14:paraId="0C099C93" w14:textId="77777777" w:rsidR="0035442D" w:rsidRDefault="0035442D" w:rsidP="0035442D">
      <w:pPr>
        <w:tabs>
          <w:tab w:val="left" w:pos="700"/>
        </w:tabs>
        <w:ind w:firstLine="567"/>
        <w:jc w:val="both"/>
        <w:rPr>
          <w:lang w:eastAsia="en-US"/>
        </w:rPr>
      </w:pPr>
      <w:r>
        <w:rPr>
          <w:lang w:eastAsia="en-US"/>
        </w:rPr>
        <w:t>2015 m. buvo ištirti 94 mėginiai mikotoksinų, iš kurių tik 11 mėginių (11,7</w:t>
      </w:r>
      <w:r w:rsidRPr="00942CC1">
        <w:rPr>
          <w:lang w:eastAsia="en-US"/>
        </w:rPr>
        <w:t>%</w:t>
      </w:r>
      <w:r>
        <w:rPr>
          <w:lang w:eastAsia="en-US"/>
        </w:rPr>
        <w:t xml:space="preserve">) kuriuose mikotoksinų nerasta. Kituose mėginiuose mikotoksinų kiekiai neviršijo teisės aktuose numatytų verčių. Buvo tirta: grūduose ir jų produktuose </w:t>
      </w:r>
      <w:proofErr w:type="spellStart"/>
      <w:r>
        <w:rPr>
          <w:lang w:eastAsia="en-US"/>
        </w:rPr>
        <w:t>deokisnivalenolis</w:t>
      </w:r>
      <w:proofErr w:type="spellEnd"/>
      <w:r>
        <w:rPr>
          <w:lang w:eastAsia="en-US"/>
        </w:rPr>
        <w:t xml:space="preserve">, mikotoksinai T-2 ir HT-2, </w:t>
      </w:r>
      <w:proofErr w:type="spellStart"/>
      <w:r>
        <w:rPr>
          <w:lang w:eastAsia="en-US"/>
        </w:rPr>
        <w:t>aflatoksinai,zearalenonas</w:t>
      </w:r>
      <w:proofErr w:type="spellEnd"/>
      <w:r>
        <w:rPr>
          <w:lang w:eastAsia="en-US"/>
        </w:rPr>
        <w:t xml:space="preserve">,  razinose , vynuogių sultyse, vyne ir jo gaminiuose, maltoje ir tirpioje kavoje ir kavos pupelėse </w:t>
      </w:r>
      <w:proofErr w:type="spellStart"/>
      <w:r>
        <w:rPr>
          <w:lang w:eastAsia="en-US"/>
        </w:rPr>
        <w:t>ochratoksinas</w:t>
      </w:r>
      <w:proofErr w:type="spellEnd"/>
      <w:r>
        <w:rPr>
          <w:lang w:eastAsia="en-US"/>
        </w:rPr>
        <w:t xml:space="preserve"> A, prieskoniuose, džiovintuose vaisiuose  ir riešutuose </w:t>
      </w:r>
      <w:proofErr w:type="spellStart"/>
      <w:r>
        <w:rPr>
          <w:lang w:eastAsia="en-US"/>
        </w:rPr>
        <w:t>aflatoksinai</w:t>
      </w:r>
      <w:proofErr w:type="spellEnd"/>
      <w:r>
        <w:rPr>
          <w:lang w:eastAsia="en-US"/>
        </w:rPr>
        <w:t xml:space="preserve">, </w:t>
      </w:r>
      <w:proofErr w:type="spellStart"/>
      <w:r>
        <w:rPr>
          <w:lang w:eastAsia="en-US"/>
        </w:rPr>
        <w:t>fermentuostuose</w:t>
      </w:r>
      <w:proofErr w:type="spellEnd"/>
      <w:r>
        <w:rPr>
          <w:lang w:eastAsia="en-US"/>
        </w:rPr>
        <w:t xml:space="preserve"> gėrimuose, sidre pagamintuose iš obuolių sulčių </w:t>
      </w:r>
      <w:proofErr w:type="spellStart"/>
      <w:r>
        <w:rPr>
          <w:lang w:eastAsia="en-US"/>
        </w:rPr>
        <w:t>patulinas</w:t>
      </w:r>
      <w:proofErr w:type="spellEnd"/>
      <w:r>
        <w:rPr>
          <w:lang w:eastAsia="en-US"/>
        </w:rPr>
        <w:t>.</w:t>
      </w:r>
    </w:p>
    <w:p w14:paraId="67C86501" w14:textId="77777777" w:rsidR="0035442D" w:rsidRDefault="0035442D" w:rsidP="0035442D">
      <w:pPr>
        <w:ind w:firstLine="567"/>
        <w:jc w:val="both"/>
        <w:rPr>
          <w:b/>
        </w:rPr>
      </w:pPr>
      <w:r>
        <w:rPr>
          <w:lang w:eastAsia="en-US"/>
        </w:rPr>
        <w:lastRenderedPageBreak/>
        <w:t xml:space="preserve">2015 m. buvo ištirti 22 mėginiai. Nustatytas tik vienas mėginys bulvių traškučiuose nustatytas akrilamido kiekis 1270 ± 127 µg/kg, viršijo orientacines vertes. Atlikus akrilamido tyrimų analizę nustatyta, kad produktai priskiriami minkštos duonos maisto grupei nekelia grėsmės vartotojų sveikatai ir jų valstybinė stebėsena nėra būtina, kadangi visuose tirtuose mėginiuose buvo nustatyta, kad akrilamido kiekiai yra žemiau aptikimo ribos. 2015 m. tyrimo rezultatai parodė, kad būtina tirti skrudintos kavos, tirpios kavos produktus, kadangi nustatomos vertės yra nuo </w:t>
      </w:r>
      <w:r w:rsidRPr="00850FFD">
        <w:rPr>
          <w:lang w:eastAsia="en-US"/>
        </w:rPr>
        <w:t>165 +/- 20 µg/kg</w:t>
      </w:r>
      <w:r>
        <w:rPr>
          <w:lang w:eastAsia="en-US"/>
        </w:rPr>
        <w:t xml:space="preserve"> iki </w:t>
      </w:r>
      <w:r w:rsidRPr="00676A58">
        <w:rPr>
          <w:lang w:eastAsia="en-US"/>
        </w:rPr>
        <w:t>564.8 +/- 67.8 µg/kg</w:t>
      </w:r>
      <w:r>
        <w:rPr>
          <w:lang w:eastAsia="en-US"/>
        </w:rPr>
        <w:t>.</w:t>
      </w:r>
      <w:r w:rsidRPr="00676A58">
        <w:rPr>
          <w:b/>
        </w:rPr>
        <w:t xml:space="preserve"> </w:t>
      </w:r>
    </w:p>
    <w:p w14:paraId="0DD7BAA6" w14:textId="77777777" w:rsidR="0035442D" w:rsidRPr="0019516B" w:rsidRDefault="0035442D" w:rsidP="0035442D">
      <w:pPr>
        <w:ind w:firstLine="567"/>
        <w:jc w:val="both"/>
      </w:pPr>
      <w:r w:rsidRPr="0019516B">
        <w:rPr>
          <w:b/>
        </w:rPr>
        <w:t>Išvada</w:t>
      </w:r>
      <w:r w:rsidRPr="0019516B">
        <w:t xml:space="preserve">: </w:t>
      </w:r>
    </w:p>
    <w:p w14:paraId="28201945" w14:textId="77777777" w:rsidR="0035442D" w:rsidRDefault="0035442D" w:rsidP="0035442D">
      <w:pPr>
        <w:ind w:firstLine="567"/>
        <w:jc w:val="both"/>
        <w:rPr>
          <w:b/>
        </w:rPr>
      </w:pPr>
      <w:r>
        <w:t xml:space="preserve">2015 m. augalinio maisto produktų taršos stebėsenos planas įgyvendintas 99,16 %. Atsižvelgiant į rinkoje susiklosčiusią situaciją dalis vietinės kilmės maisto produktų buvo pakeisti įvežtiniais ir atvirkščiai. Nebuvo atrinkti 7 mėginiai pesticidų likučiams nustatyti pagal plano  8 priedą (Importuotų augalinio maisto produktų mėginių planas), kadangi šiais metais tam tikri produktai nevyko per pasienio kontrolės punktus. </w:t>
      </w:r>
    </w:p>
    <w:p w14:paraId="727630EC" w14:textId="77777777" w:rsidR="0035442D" w:rsidRDefault="0035442D" w:rsidP="0035442D">
      <w:r>
        <w:t>Šiais metais gauti 3 ekologinių produktų tyrimai, kuomet buvo nustatyti pesticidai likučiai, tačiau nustatytas kiekis neviršijo ne ekologiškiems produktams leidžiamo didžiausio leistino kiekio. Apie neatitikusius ekologiškus maisto produktus pranešta OFIS sistemoje.</w:t>
      </w:r>
    </w:p>
    <w:p w14:paraId="3B3FCB2A" w14:textId="77777777" w:rsidR="0035442D" w:rsidRDefault="0035442D" w:rsidP="0035442D">
      <w:r>
        <w:t>Atsižvelgiant į 2015 m. augalinio maisto produktų stebėsenos plano duomenų analizę, kitų ES pateiktų duomenų RASFF sistemoje, pateiktas naujas rekomendacijas ir reglamentuotus teršalus parengtas 2016 m. augalinio maisto produktų taršos stebėsenos planas.</w:t>
      </w:r>
    </w:p>
    <w:p w14:paraId="1961E6CC" w14:textId="77777777" w:rsidR="0035442D" w:rsidRDefault="0035442D" w:rsidP="0035442D"/>
    <w:p w14:paraId="5BDFE019" w14:textId="77777777" w:rsidR="0035442D" w:rsidRDefault="0035442D" w:rsidP="0035442D">
      <w:pPr>
        <w:tabs>
          <w:tab w:val="left" w:pos="700"/>
        </w:tabs>
        <w:ind w:firstLine="567"/>
        <w:jc w:val="both"/>
        <w:rPr>
          <w:lang w:eastAsia="en-US"/>
        </w:rPr>
      </w:pPr>
      <w:r>
        <w:rPr>
          <w:lang w:eastAsia="en-US"/>
        </w:rPr>
        <w:t xml:space="preserve">2014 m. taršos stebėsenos plano analizė </w:t>
      </w:r>
    </w:p>
    <w:p w14:paraId="36A4FD91" w14:textId="77777777" w:rsidR="0035442D" w:rsidRDefault="0035442D" w:rsidP="0035442D">
      <w:pPr>
        <w:tabs>
          <w:tab w:val="left" w:pos="700"/>
        </w:tabs>
        <w:ind w:firstLine="567"/>
        <w:jc w:val="both"/>
        <w:rPr>
          <w:lang w:eastAsia="en-US"/>
        </w:rPr>
      </w:pPr>
      <w:r w:rsidRPr="00942CC1">
        <w:rPr>
          <w:lang w:eastAsia="en-US"/>
        </w:rPr>
        <w:t>Ištirtuose</w:t>
      </w:r>
      <w:r>
        <w:rPr>
          <w:lang w:eastAsia="en-US"/>
        </w:rPr>
        <w:t xml:space="preserve"> 484 mėginyje, iš jų,</w:t>
      </w:r>
      <w:r w:rsidRPr="00942CC1">
        <w:rPr>
          <w:lang w:eastAsia="en-US"/>
        </w:rPr>
        <w:t xml:space="preserve"> </w:t>
      </w:r>
      <w:r>
        <w:rPr>
          <w:lang w:eastAsia="en-US"/>
        </w:rPr>
        <w:t xml:space="preserve">227 </w:t>
      </w:r>
      <w:r w:rsidRPr="00942CC1">
        <w:rPr>
          <w:lang w:eastAsia="en-US"/>
        </w:rPr>
        <w:t>mėginiuose (</w:t>
      </w:r>
      <w:r>
        <w:rPr>
          <w:lang w:eastAsia="en-US"/>
        </w:rPr>
        <w:t>46,9</w:t>
      </w:r>
      <w:r w:rsidRPr="00942CC1">
        <w:rPr>
          <w:lang w:eastAsia="en-US"/>
        </w:rPr>
        <w:t>%) pesticidų likučiai nustatyti</w:t>
      </w:r>
      <w:r>
        <w:rPr>
          <w:lang w:eastAsia="en-US"/>
        </w:rPr>
        <w:t>,</w:t>
      </w:r>
      <w:r w:rsidRPr="00942CC1">
        <w:rPr>
          <w:lang w:eastAsia="en-US"/>
        </w:rPr>
        <w:t xml:space="preserve"> bet neviršijo didžiausių leistinų normų</w:t>
      </w:r>
      <w:r>
        <w:rPr>
          <w:lang w:eastAsia="en-US"/>
        </w:rPr>
        <w:t>.</w:t>
      </w:r>
      <w:r w:rsidRPr="00942CC1">
        <w:rPr>
          <w:lang w:eastAsia="en-US"/>
        </w:rPr>
        <w:t xml:space="preserve"> pesticidų likučių nerasta </w:t>
      </w:r>
      <w:r>
        <w:rPr>
          <w:lang w:eastAsia="en-US"/>
        </w:rPr>
        <w:t>253</w:t>
      </w:r>
      <w:r w:rsidRPr="00942CC1">
        <w:rPr>
          <w:lang w:eastAsia="en-US"/>
        </w:rPr>
        <w:t xml:space="preserve"> mėginiuose (</w:t>
      </w:r>
      <w:r>
        <w:rPr>
          <w:lang w:eastAsia="en-US"/>
        </w:rPr>
        <w:t>52,3</w:t>
      </w:r>
      <w:r w:rsidRPr="00942CC1">
        <w:rPr>
          <w:lang w:eastAsia="en-US"/>
        </w:rPr>
        <w:t xml:space="preserve">%), </w:t>
      </w:r>
      <w:r>
        <w:rPr>
          <w:lang w:eastAsia="en-US"/>
        </w:rPr>
        <w:t>tuo tarpu 5 mėginiuose (1</w:t>
      </w:r>
      <w:r w:rsidRPr="00942CC1">
        <w:rPr>
          <w:lang w:eastAsia="en-US"/>
        </w:rPr>
        <w:t>%)</w:t>
      </w:r>
      <w:r>
        <w:rPr>
          <w:lang w:eastAsia="en-US"/>
        </w:rPr>
        <w:t xml:space="preserve"> viršijo </w:t>
      </w:r>
      <w:r w:rsidRPr="00942CC1">
        <w:rPr>
          <w:lang w:eastAsia="en-US"/>
        </w:rPr>
        <w:t>didžiausias leistinas norm</w:t>
      </w:r>
      <w:r>
        <w:rPr>
          <w:lang w:eastAsia="en-US"/>
        </w:rPr>
        <w:t>a</w:t>
      </w:r>
      <w:r w:rsidRPr="00942CC1">
        <w:rPr>
          <w:lang w:eastAsia="en-US"/>
        </w:rPr>
        <w:t>s</w:t>
      </w:r>
      <w:r>
        <w:rPr>
          <w:lang w:eastAsia="en-US"/>
        </w:rPr>
        <w:t>: e</w:t>
      </w:r>
      <w:r w:rsidRPr="00CC5533">
        <w:rPr>
          <w:lang w:eastAsia="en-US"/>
        </w:rPr>
        <w:t>kologišk</w:t>
      </w:r>
      <w:r>
        <w:rPr>
          <w:lang w:eastAsia="en-US"/>
        </w:rPr>
        <w:t>uose apelsinuose</w:t>
      </w:r>
      <w:r w:rsidRPr="00CC5533">
        <w:rPr>
          <w:lang w:eastAsia="en-US"/>
        </w:rPr>
        <w:t xml:space="preserve"> "</w:t>
      </w:r>
      <w:proofErr w:type="spellStart"/>
      <w:r w:rsidRPr="00CC5533">
        <w:rPr>
          <w:lang w:eastAsia="en-US"/>
        </w:rPr>
        <w:t>Valencia</w:t>
      </w:r>
      <w:proofErr w:type="spellEnd"/>
      <w:r w:rsidRPr="00CC5533">
        <w:rPr>
          <w:lang w:eastAsia="en-US"/>
        </w:rPr>
        <w:t>"</w:t>
      </w:r>
      <w:r>
        <w:rPr>
          <w:lang w:eastAsia="en-US"/>
        </w:rPr>
        <w:t xml:space="preserve"> iš Graikijos, ridikėliuose iš Lietuvos, žieminiuose kviečiuose iš Lietuvos, brokoliniuose kopūstuose iš Lenkijos, ekologiškuose </w:t>
      </w:r>
      <w:proofErr w:type="spellStart"/>
      <w:r>
        <w:rPr>
          <w:lang w:eastAsia="en-US"/>
        </w:rPr>
        <w:t>kraujažolėse</w:t>
      </w:r>
      <w:proofErr w:type="spellEnd"/>
      <w:r>
        <w:rPr>
          <w:lang w:eastAsia="en-US"/>
        </w:rPr>
        <w:t xml:space="preserve"> iš Lietuvos.</w:t>
      </w:r>
    </w:p>
    <w:p w14:paraId="72A07F63" w14:textId="77777777" w:rsidR="0035442D" w:rsidRPr="00942CC1" w:rsidRDefault="0035442D" w:rsidP="0035442D">
      <w:pPr>
        <w:tabs>
          <w:tab w:val="left" w:pos="700"/>
        </w:tabs>
        <w:ind w:firstLine="567"/>
        <w:jc w:val="both"/>
        <w:rPr>
          <w:lang w:eastAsia="en-US"/>
        </w:rPr>
      </w:pPr>
      <w:r>
        <w:rPr>
          <w:lang w:eastAsia="en-US"/>
        </w:rPr>
        <w:t>Taip pat šiais metais į augalinio maisto taršos stebėsenos programą buvo įtraukta 23 mėginiai dėl PAA liekanų. 4 mėginiuose (kanapių aliejuje ir nerafinuotame moliūgų sėklų aliejuje bei 2 šalto spaudimo linų sėmenų aliejaus mėginiuose, kurių visų kilmės šalis Lietuva) buvo nustatyti PAA kiekiai, viršijantys didžiausius leistinus kiekius.</w:t>
      </w:r>
    </w:p>
    <w:p w14:paraId="1243DF65" w14:textId="77777777" w:rsidR="0035442D" w:rsidRPr="0019516B" w:rsidRDefault="0035442D" w:rsidP="0035442D">
      <w:pPr>
        <w:ind w:firstLine="567"/>
        <w:jc w:val="both"/>
        <w:rPr>
          <w:lang w:eastAsia="en-US"/>
        </w:rPr>
      </w:pPr>
      <w:r>
        <w:rPr>
          <w:lang w:eastAsia="en-US"/>
        </w:rPr>
        <w:t xml:space="preserve">2014 m. nustatyti 3 atvejai, kuomet nustatytas teršalų kiekis viršijo didžiausius leistinus kiekius arba orientacines vertes, tačiau atlikus rizikos vertinimą, buvo nustatyta, kad produktas žmogaus sveikatai pavojaus nekelia, ir yra saugus: tirpioje kavoje, kurios kilmės šalis Ekvadoras, nustatytas </w:t>
      </w:r>
      <w:proofErr w:type="spellStart"/>
      <w:r>
        <w:rPr>
          <w:lang w:eastAsia="en-US"/>
        </w:rPr>
        <w:t>ochratoksinas</w:t>
      </w:r>
      <w:proofErr w:type="spellEnd"/>
      <w:r>
        <w:rPr>
          <w:lang w:eastAsia="en-US"/>
        </w:rPr>
        <w:t xml:space="preserve"> A, vafliniuose lakštuose iš Lietuvos ir kaimiškos grietinės ir svogūnų skonio bulvių traškučiuose iš Lenkijos, nustatytas akrilamido kiekis viršijo orientacinę vertę.</w:t>
      </w:r>
    </w:p>
    <w:p w14:paraId="50DDE4DB" w14:textId="77777777" w:rsidR="0035442D" w:rsidRDefault="0035442D" w:rsidP="0035442D">
      <w:pPr>
        <w:ind w:firstLine="567"/>
        <w:jc w:val="both"/>
        <w:rPr>
          <w:lang w:eastAsia="en-US"/>
        </w:rPr>
      </w:pPr>
      <w:r>
        <w:rPr>
          <w:lang w:eastAsia="en-US"/>
        </w:rPr>
        <w:t xml:space="preserve">2014 m. augalinių maisto produktų taršos programoje tiriami produktai mikotoksinų kiekio nustatymui: </w:t>
      </w:r>
      <w:proofErr w:type="spellStart"/>
      <w:r>
        <w:rPr>
          <w:lang w:eastAsia="en-US"/>
        </w:rPr>
        <w:t>patulinas</w:t>
      </w:r>
      <w:proofErr w:type="spellEnd"/>
      <w:r>
        <w:rPr>
          <w:lang w:eastAsia="en-US"/>
        </w:rPr>
        <w:t xml:space="preserve"> obuolių sultyse, </w:t>
      </w:r>
      <w:proofErr w:type="spellStart"/>
      <w:r>
        <w:rPr>
          <w:lang w:eastAsia="en-US"/>
        </w:rPr>
        <w:t>deoksinivalenolis</w:t>
      </w:r>
      <w:proofErr w:type="spellEnd"/>
      <w:r>
        <w:rPr>
          <w:lang w:eastAsia="en-US"/>
        </w:rPr>
        <w:t xml:space="preserve"> grūduose. Nustatyti kiekiai neviršijo didžiausių leistinų kiekių.</w:t>
      </w:r>
    </w:p>
    <w:p w14:paraId="6BA1841E" w14:textId="77777777" w:rsidR="0035442D" w:rsidRDefault="0035442D" w:rsidP="0035442D">
      <w:pPr>
        <w:ind w:firstLine="567"/>
        <w:jc w:val="both"/>
        <w:rPr>
          <w:lang w:eastAsia="en-US"/>
        </w:rPr>
      </w:pPr>
      <w:proofErr w:type="spellStart"/>
      <w:r w:rsidRPr="0019516B">
        <w:rPr>
          <w:lang w:eastAsia="en-US"/>
        </w:rPr>
        <w:t>Aflatoksinai</w:t>
      </w:r>
      <w:proofErr w:type="spellEnd"/>
      <w:r w:rsidRPr="0019516B">
        <w:rPr>
          <w:lang w:eastAsia="en-US"/>
        </w:rPr>
        <w:t xml:space="preserve">, </w:t>
      </w:r>
      <w:proofErr w:type="spellStart"/>
      <w:r w:rsidRPr="0019516B">
        <w:rPr>
          <w:lang w:eastAsia="en-US"/>
        </w:rPr>
        <w:t>ochratoksinas</w:t>
      </w:r>
      <w:proofErr w:type="spellEnd"/>
      <w:r w:rsidRPr="0019516B">
        <w:rPr>
          <w:lang w:eastAsia="en-US"/>
        </w:rPr>
        <w:t xml:space="preserve"> A tirtuose produktuose - riešutuose, grūdų produktuose, džiovintuose vaisiuose, kavoje, prieskoniuose, kūdikių ir vaikų maiste neviršijo leistinų normų</w:t>
      </w:r>
      <w:r>
        <w:rPr>
          <w:lang w:eastAsia="en-US"/>
        </w:rPr>
        <w:t>, išskyrus vieną atvejį paminėtą aukščiau</w:t>
      </w:r>
      <w:r w:rsidRPr="0019516B">
        <w:rPr>
          <w:lang w:eastAsia="en-US"/>
        </w:rPr>
        <w:t>.</w:t>
      </w:r>
      <w:r>
        <w:rPr>
          <w:lang w:eastAsia="en-US"/>
        </w:rPr>
        <w:t xml:space="preserve"> Kadangi tirpi kava buvo vartojama ne tiesiogiai vartoti, o kaip kito produkto sudedamoji dalis, tai buvo nustatyta, kad pavojaus sveikatai nėra.</w:t>
      </w:r>
    </w:p>
    <w:p w14:paraId="2E565595" w14:textId="77777777" w:rsidR="0035442D" w:rsidRDefault="0035442D" w:rsidP="0035442D">
      <w:pPr>
        <w:ind w:firstLine="567"/>
        <w:jc w:val="both"/>
        <w:rPr>
          <w:lang w:eastAsia="en-US"/>
        </w:rPr>
      </w:pPr>
      <w:r>
        <w:rPr>
          <w:lang w:eastAsia="en-US"/>
        </w:rPr>
        <w:t xml:space="preserve">Šiais metais taip pat į programą buvo įtraukti 7 mėginiai dėl skalsių alkaloidų, 4 mėginiai dėl mikotoksinų T-2 ir HT-2 bei 4 mėginiai dėl </w:t>
      </w:r>
      <w:proofErr w:type="spellStart"/>
      <w:r>
        <w:rPr>
          <w:lang w:eastAsia="en-US"/>
        </w:rPr>
        <w:t>zearalenono</w:t>
      </w:r>
      <w:proofErr w:type="spellEnd"/>
      <w:r>
        <w:rPr>
          <w:lang w:eastAsia="en-US"/>
        </w:rPr>
        <w:t xml:space="preserve"> grūduose ir grūdų produktuose.</w:t>
      </w:r>
    </w:p>
    <w:p w14:paraId="411DF126" w14:textId="77777777" w:rsidR="0035442D" w:rsidRPr="0019516B" w:rsidRDefault="0035442D" w:rsidP="0035442D">
      <w:pPr>
        <w:ind w:firstLine="567"/>
        <w:jc w:val="both"/>
        <w:rPr>
          <w:lang w:eastAsia="en-US"/>
        </w:rPr>
      </w:pPr>
      <w:r>
        <w:rPr>
          <w:lang w:eastAsia="en-US"/>
        </w:rPr>
        <w:t>Nebuvo nustatyta nei vieno atvejo dėl mikotoksinų, kad mėginyje nebūtų rastas nors ir nedidelis kiekis mikotoksinų.</w:t>
      </w:r>
    </w:p>
    <w:p w14:paraId="34B9053D" w14:textId="77777777" w:rsidR="0035442D" w:rsidRDefault="0035442D" w:rsidP="0035442D">
      <w:pPr>
        <w:ind w:firstLine="567"/>
        <w:jc w:val="both"/>
        <w:rPr>
          <w:lang w:eastAsia="en-US"/>
        </w:rPr>
      </w:pPr>
      <w:r w:rsidRPr="009A0E59">
        <w:rPr>
          <w:lang w:eastAsia="en-US"/>
        </w:rPr>
        <w:t>201</w:t>
      </w:r>
      <w:r>
        <w:rPr>
          <w:lang w:eastAsia="en-US"/>
        </w:rPr>
        <w:t>4</w:t>
      </w:r>
      <w:r w:rsidRPr="009A0E59">
        <w:rPr>
          <w:lang w:eastAsia="en-US"/>
        </w:rPr>
        <w:t xml:space="preserve"> m</w:t>
      </w:r>
      <w:r>
        <w:rPr>
          <w:lang w:eastAsia="en-US"/>
        </w:rPr>
        <w:t>. buvo atrinkti ir ištirti 21 akrilamido mėginys</w:t>
      </w:r>
      <w:r w:rsidRPr="009A0E59">
        <w:rPr>
          <w:lang w:eastAsia="en-US"/>
        </w:rPr>
        <w:t xml:space="preserve">. </w:t>
      </w:r>
      <w:r>
        <w:rPr>
          <w:lang w:eastAsia="en-US"/>
        </w:rPr>
        <w:t xml:space="preserve">Šiaulių VMVT atrinko vaflių lakštų mėginį, kilmės šalis Lietuva, kuriame buvo nustatytas akrilamido kiekis viršijo rekomendacijose 2010/307/ES ir 2013/647/ES nustatytas orientacines vertes, t.y. buvo nustatytas akrilamido kiekis siekė 1105±111 µg/kg. Inspektoriai kartu su gamintojais aptarė gamybos etapus ir naudojamas </w:t>
      </w:r>
      <w:r>
        <w:rPr>
          <w:lang w:eastAsia="en-US"/>
        </w:rPr>
        <w:lastRenderedPageBreak/>
        <w:t xml:space="preserve">medžiagas, bei nusistatė rizikingiausius taškus, kuriuose gali susidaryti akrilamidas. Pakeitus gamybos procesą akrilamido nustatyta vertė buvo gauta tik 192,9 µg/kg, kai tuo tarpu rekomendacijose orientacinė vertė vafliams ir sausainiams yra 500 µg/kg. </w:t>
      </w:r>
    </w:p>
    <w:p w14:paraId="390AC51C" w14:textId="77777777" w:rsidR="0035442D" w:rsidRDefault="0035442D" w:rsidP="0035442D">
      <w:pPr>
        <w:ind w:firstLine="567"/>
        <w:jc w:val="both"/>
        <w:rPr>
          <w:lang w:eastAsia="en-US"/>
        </w:rPr>
      </w:pPr>
      <w:r>
        <w:rPr>
          <w:lang w:eastAsia="en-US"/>
        </w:rPr>
        <w:t xml:space="preserve">Atlikus kaimiškos grietinės ir svogūnų skonio bulvių traškučių, kurių kilmės šalis yra Lenkija akrilamido tyrimus, buvo nustatytas </w:t>
      </w:r>
      <w:r w:rsidRPr="004E3CE4">
        <w:rPr>
          <w:lang w:eastAsia="en-US"/>
        </w:rPr>
        <w:t xml:space="preserve">1286.5 +/- 126.9 µg/kg </w:t>
      </w:r>
      <w:r>
        <w:rPr>
          <w:lang w:eastAsia="en-US"/>
        </w:rPr>
        <w:t xml:space="preserve">kiekis. Vilniaus VMVT informavo prekybininką, nurodydama pateikti informaciją gamintojui. </w:t>
      </w:r>
      <w:r w:rsidRPr="00BC1213">
        <w:rPr>
          <w:lang w:eastAsia="en-US"/>
        </w:rPr>
        <w:t xml:space="preserve">Visuose </w:t>
      </w:r>
      <w:r>
        <w:rPr>
          <w:lang w:eastAsia="en-US"/>
        </w:rPr>
        <w:t>likusiuos</w:t>
      </w:r>
      <w:r w:rsidRPr="00BC1213">
        <w:rPr>
          <w:lang w:eastAsia="en-US"/>
        </w:rPr>
        <w:t xml:space="preserve">e mėginiuose akrilamido kiekiai neviršijo </w:t>
      </w:r>
      <w:r>
        <w:rPr>
          <w:lang w:eastAsia="en-US"/>
        </w:rPr>
        <w:t>Europos Komisijos rekomendacijose 2010/307/ES ir 2013/647/ES rekomenduojamų akrilamido kiekių.</w:t>
      </w:r>
    </w:p>
    <w:p w14:paraId="6D3895BE" w14:textId="77777777" w:rsidR="0035442D" w:rsidRPr="007120AE" w:rsidRDefault="0035442D" w:rsidP="0035442D">
      <w:pPr>
        <w:jc w:val="both"/>
        <w:rPr>
          <w:lang w:eastAsia="en-US"/>
        </w:rPr>
      </w:pPr>
    </w:p>
    <w:p w14:paraId="2ED57A4F" w14:textId="77777777" w:rsidR="0035442D" w:rsidRDefault="0035442D" w:rsidP="0035442D">
      <w:pPr>
        <w:ind w:firstLine="567"/>
        <w:jc w:val="both"/>
        <w:rPr>
          <w:lang w:eastAsia="en-US"/>
        </w:rPr>
      </w:pPr>
      <w:r w:rsidRPr="00F75CF1">
        <w:rPr>
          <w:lang w:eastAsia="en-US"/>
        </w:rPr>
        <w:t>Apie nesaugius</w:t>
      </w:r>
      <w:r>
        <w:rPr>
          <w:lang w:eastAsia="en-US"/>
        </w:rPr>
        <w:t xml:space="preserve"> augalinius</w:t>
      </w:r>
      <w:r w:rsidRPr="00F75CF1">
        <w:rPr>
          <w:lang w:eastAsia="en-US"/>
        </w:rPr>
        <w:t xml:space="preserve"> </w:t>
      </w:r>
      <w:r>
        <w:rPr>
          <w:lang w:eastAsia="en-US"/>
        </w:rPr>
        <w:t xml:space="preserve">maisto produktus, kuriuose buvo nustatyti viršyti didžiausi leistini kiekiai, kurie nebuvo vietinės reikšmės maisto produktai arba atlikus rizikos vertinimą, buvo nustatyta, kad produktas yra nesaugus </w:t>
      </w:r>
      <w:r w:rsidRPr="00F75CF1">
        <w:rPr>
          <w:lang w:eastAsia="en-US"/>
        </w:rPr>
        <w:t>pranešta Europos Komisijai Skubiųjų pranešimų apie nesaugius mai</w:t>
      </w:r>
      <w:r>
        <w:rPr>
          <w:lang w:eastAsia="en-US"/>
        </w:rPr>
        <w:t>sto produktus ir pašarus sistemos pagalba</w:t>
      </w:r>
      <w:r w:rsidRPr="00F75CF1">
        <w:rPr>
          <w:lang w:eastAsia="en-US"/>
        </w:rPr>
        <w:t xml:space="preserve"> </w:t>
      </w:r>
      <w:r>
        <w:rPr>
          <w:lang w:eastAsia="en-US"/>
        </w:rPr>
        <w:t>(</w:t>
      </w:r>
      <w:r w:rsidRPr="00F75CF1">
        <w:rPr>
          <w:lang w:eastAsia="en-US"/>
        </w:rPr>
        <w:t>RASFF</w:t>
      </w:r>
      <w:r>
        <w:rPr>
          <w:lang w:eastAsia="en-US"/>
        </w:rPr>
        <w:t xml:space="preserve">) – 5 atvejai, aliejai dėl PAA, </w:t>
      </w:r>
      <w:proofErr w:type="spellStart"/>
      <w:r>
        <w:rPr>
          <w:lang w:eastAsia="en-US"/>
        </w:rPr>
        <w:t>brokoliniai</w:t>
      </w:r>
      <w:proofErr w:type="spellEnd"/>
      <w:r>
        <w:rPr>
          <w:lang w:eastAsia="en-US"/>
        </w:rPr>
        <w:t xml:space="preserve"> kopūstai dėl pesticidų ir vienas atvejis –ekologiški apelsinai iš Graikijos, apie neatitiktį informacija pateikta OFIS sistemoje.</w:t>
      </w:r>
      <w:r w:rsidRPr="00676A58">
        <w:t xml:space="preserve"> </w:t>
      </w:r>
      <w:r>
        <w:t>2014</w:t>
      </w:r>
      <w:r w:rsidRPr="0019516B">
        <w:t xml:space="preserve"> m.</w:t>
      </w:r>
      <w:r>
        <w:rPr>
          <w:rFonts w:ascii="TimesNewRoman" w:hAnsi="TimesNewRoman" w:cs="TimesNewRoman"/>
          <w:color w:val="000000"/>
        </w:rPr>
        <w:t xml:space="preserve"> augalinio maisto produktų taršos stebėsenos programa įvykdyta 96,9</w:t>
      </w:r>
      <w:r>
        <w:rPr>
          <w:color w:val="000000"/>
        </w:rPr>
        <w:t xml:space="preserve">%. </w:t>
      </w:r>
      <w:r>
        <w:t xml:space="preserve">Produktai, kuriuose nustatyta neatitiktis teisės aktų reikalavimams sudaro 1,6 </w:t>
      </w:r>
      <w:r>
        <w:rPr>
          <w:color w:val="000000"/>
        </w:rPr>
        <w:t>%,</w:t>
      </w:r>
      <w:r>
        <w:t xml:space="preserve"> lyginant su 2013 metais nustatytų neatitikimų padaugėjo 8 atvejais.</w:t>
      </w:r>
      <w:r w:rsidRPr="0019516B">
        <w:t xml:space="preserve"> </w:t>
      </w:r>
      <w:r>
        <w:t>Teršalų tyrimų buvo įvykdyta mažiau nei suplanuota - 698 vietoje 720.</w:t>
      </w:r>
    </w:p>
    <w:p w14:paraId="4EC1EBE9" w14:textId="77777777" w:rsidR="0035442D" w:rsidRDefault="0035442D" w:rsidP="0035442D">
      <w:pPr>
        <w:ind w:firstLine="567"/>
        <w:rPr>
          <w:b/>
          <w:bCs/>
          <w:lang w:eastAsia="en-US"/>
        </w:rPr>
      </w:pPr>
    </w:p>
    <w:p w14:paraId="008420DE" w14:textId="77777777" w:rsidR="0035442D" w:rsidRDefault="0035442D" w:rsidP="0035442D">
      <w:pPr>
        <w:rPr>
          <w:b/>
          <w:bCs/>
          <w:lang w:eastAsia="en-US"/>
        </w:rPr>
      </w:pPr>
    </w:p>
    <w:p w14:paraId="67ED823E" w14:textId="77777777" w:rsidR="0035442D" w:rsidRPr="007120AE" w:rsidRDefault="0035442D" w:rsidP="0035442D">
      <w:pPr>
        <w:ind w:firstLine="567"/>
        <w:jc w:val="center"/>
        <w:rPr>
          <w:lang w:eastAsia="en-US"/>
        </w:rPr>
      </w:pPr>
    </w:p>
    <w:p w14:paraId="1DAA7B10" w14:textId="77777777" w:rsidR="0035442D" w:rsidRDefault="0035442D" w:rsidP="0035442D">
      <w:pPr>
        <w:ind w:firstLine="567"/>
        <w:jc w:val="both"/>
        <w:rPr>
          <w:lang w:eastAsia="en-US"/>
        </w:rPr>
      </w:pPr>
      <w:r>
        <w:rPr>
          <w:lang w:eastAsia="en-US"/>
        </w:rPr>
        <w:t>2013 m. taršos stebėsenos plano analizė</w:t>
      </w:r>
    </w:p>
    <w:p w14:paraId="303FE164" w14:textId="77777777" w:rsidR="0035442D" w:rsidRPr="00942CC1" w:rsidRDefault="0035442D" w:rsidP="0035442D">
      <w:pPr>
        <w:autoSpaceDE w:val="0"/>
        <w:autoSpaceDN w:val="0"/>
        <w:adjustRightInd w:val="0"/>
        <w:ind w:firstLine="567"/>
        <w:jc w:val="both"/>
        <w:rPr>
          <w:rFonts w:ascii="TimesNewRoman" w:hAnsi="TimesNewRoman" w:cs="TimesNewRoman"/>
          <w:color w:val="008000"/>
          <w:lang w:eastAsia="en-US"/>
        </w:rPr>
      </w:pPr>
      <w:r>
        <w:rPr>
          <w:rFonts w:ascii="TimesNewRoman" w:hAnsi="TimesNewRoman" w:cs="TimesNewRoman"/>
          <w:color w:val="000000"/>
          <w:lang w:eastAsia="en-US"/>
        </w:rPr>
        <w:t xml:space="preserve">Pagal </w:t>
      </w:r>
      <w:smartTag w:uri="urn:schemas-microsoft-com:office:smarttags" w:element="metricconverter">
        <w:smartTagPr>
          <w:attr w:name="ProductID" w:val="2013 m"/>
        </w:smartTagPr>
        <w:r>
          <w:rPr>
            <w:rFonts w:ascii="TimesNewRoman" w:hAnsi="TimesNewRoman" w:cs="TimesNewRoman"/>
            <w:color w:val="000000"/>
            <w:lang w:eastAsia="en-US"/>
          </w:rPr>
          <w:t>2013</w:t>
        </w:r>
        <w:r w:rsidRPr="00942CC1">
          <w:rPr>
            <w:rFonts w:ascii="TimesNewRoman" w:hAnsi="TimesNewRoman" w:cs="TimesNewRoman"/>
            <w:color w:val="000000"/>
            <w:lang w:eastAsia="en-US"/>
          </w:rPr>
          <w:t xml:space="preserve"> m</w:t>
        </w:r>
      </w:smartTag>
      <w:r w:rsidRPr="00942CC1">
        <w:rPr>
          <w:rFonts w:ascii="TimesNewRoman" w:hAnsi="TimesNewRoman" w:cs="TimesNewRoman"/>
          <w:color w:val="000000"/>
          <w:lang w:eastAsia="en-US"/>
        </w:rPr>
        <w:t>. augalinio maisto produktų taršos stebėsenos program</w:t>
      </w:r>
      <w:r>
        <w:rPr>
          <w:rFonts w:ascii="TimesNewRoman" w:hAnsi="TimesNewRoman" w:cs="TimesNewRoman"/>
          <w:color w:val="000000"/>
          <w:lang w:eastAsia="en-US"/>
        </w:rPr>
        <w:t>ą buvo numatyta ištirti</w:t>
      </w:r>
      <w:r w:rsidRPr="00942CC1">
        <w:rPr>
          <w:rFonts w:ascii="TimesNewRoman" w:hAnsi="TimesNewRoman" w:cs="TimesNewRoman"/>
          <w:color w:val="000000"/>
          <w:lang w:eastAsia="en-US"/>
        </w:rPr>
        <w:t xml:space="preserve"> </w:t>
      </w:r>
      <w:r>
        <w:rPr>
          <w:rFonts w:ascii="TimesNewRoman" w:hAnsi="TimesNewRoman" w:cs="TimesNewRoman"/>
          <w:color w:val="000000"/>
          <w:lang w:eastAsia="en-US"/>
        </w:rPr>
        <w:t>612</w:t>
      </w:r>
      <w:r w:rsidRPr="00942CC1">
        <w:rPr>
          <w:rFonts w:ascii="TimesNewRoman" w:hAnsi="TimesNewRoman" w:cs="TimesNewRoman"/>
          <w:color w:val="000000"/>
          <w:lang w:eastAsia="en-US"/>
        </w:rPr>
        <w:t xml:space="preserve"> mėginių </w:t>
      </w:r>
      <w:r w:rsidRPr="00942CC1">
        <w:rPr>
          <w:lang w:eastAsia="en-US"/>
        </w:rPr>
        <w:t xml:space="preserve">(pesticidai, </w:t>
      </w:r>
      <w:proofErr w:type="spellStart"/>
      <w:r w:rsidRPr="00942CC1">
        <w:rPr>
          <w:lang w:eastAsia="en-US"/>
        </w:rPr>
        <w:t>akrilamidas</w:t>
      </w:r>
      <w:proofErr w:type="spellEnd"/>
      <w:r w:rsidRPr="00942CC1">
        <w:rPr>
          <w:lang w:eastAsia="en-US"/>
        </w:rPr>
        <w:t xml:space="preserve">, </w:t>
      </w:r>
      <w:proofErr w:type="spellStart"/>
      <w:r w:rsidRPr="00942CC1">
        <w:rPr>
          <w:lang w:eastAsia="en-US"/>
        </w:rPr>
        <w:t>furanas</w:t>
      </w:r>
      <w:proofErr w:type="spellEnd"/>
      <w:r w:rsidRPr="00942CC1">
        <w:rPr>
          <w:lang w:eastAsia="en-US"/>
        </w:rPr>
        <w:t>, mikotoksinai</w:t>
      </w:r>
      <w:r>
        <w:rPr>
          <w:lang w:eastAsia="en-US"/>
        </w:rPr>
        <w:t>, sunkieji metalai</w:t>
      </w:r>
      <w:r w:rsidRPr="00942CC1">
        <w:rPr>
          <w:lang w:eastAsia="en-US"/>
        </w:rPr>
        <w:t>)</w:t>
      </w:r>
      <w:r>
        <w:rPr>
          <w:lang w:eastAsia="en-US"/>
        </w:rPr>
        <w:t>. Buvo ištirti 608 mėginiai.</w:t>
      </w:r>
      <w:r w:rsidRPr="00942CC1">
        <w:rPr>
          <w:rFonts w:ascii="TimesNewRoman" w:hAnsi="TimesNewRoman" w:cs="TimesNewRoman"/>
          <w:color w:val="000000"/>
          <w:lang w:eastAsia="en-US"/>
        </w:rPr>
        <w:t xml:space="preserve"> Dėl pesticidų liekanų ištirti 3</w:t>
      </w:r>
      <w:r>
        <w:rPr>
          <w:rFonts w:ascii="TimesNewRoman" w:hAnsi="TimesNewRoman" w:cs="TimesNewRoman"/>
          <w:color w:val="000000"/>
          <w:lang w:eastAsia="en-US"/>
        </w:rPr>
        <w:t>92</w:t>
      </w:r>
      <w:r w:rsidRPr="00942CC1">
        <w:rPr>
          <w:rFonts w:ascii="TimesNewRoman" w:hAnsi="TimesNewRoman" w:cs="TimesNewRoman"/>
          <w:color w:val="000000"/>
          <w:lang w:eastAsia="en-US"/>
        </w:rPr>
        <w:t xml:space="preserve"> mėginiai, arba </w:t>
      </w:r>
      <w:r>
        <w:rPr>
          <w:rFonts w:ascii="TimesNewRoman" w:hAnsi="TimesNewRoman" w:cs="TimesNewRoman"/>
          <w:color w:val="000000"/>
          <w:lang w:eastAsia="en-US"/>
        </w:rPr>
        <w:t>25</w:t>
      </w:r>
      <w:r w:rsidRPr="00942CC1">
        <w:rPr>
          <w:rFonts w:ascii="TimesNewRoman" w:hAnsi="TimesNewRoman" w:cs="TimesNewRoman"/>
          <w:color w:val="000000"/>
          <w:lang w:eastAsia="en-US"/>
        </w:rPr>
        <w:t xml:space="preserve"> mėginiais </w:t>
      </w:r>
      <w:r>
        <w:rPr>
          <w:rFonts w:ascii="TimesNewRoman" w:hAnsi="TimesNewRoman" w:cs="TimesNewRoman"/>
          <w:color w:val="000000"/>
          <w:lang w:eastAsia="en-US"/>
        </w:rPr>
        <w:t>mažiau</w:t>
      </w:r>
      <w:r w:rsidRPr="00942CC1">
        <w:rPr>
          <w:rFonts w:ascii="TimesNewRoman" w:hAnsi="TimesNewRoman" w:cs="TimesNewRoman"/>
          <w:color w:val="000000"/>
          <w:lang w:eastAsia="en-US"/>
        </w:rPr>
        <w:t xml:space="preserve"> nei buvo numatyta programoje, dėl </w:t>
      </w:r>
      <w:proofErr w:type="spellStart"/>
      <w:r w:rsidRPr="00942CC1">
        <w:rPr>
          <w:rFonts w:ascii="TimesNewRoman" w:hAnsi="TimesNewRoman" w:cs="TimesNewRoman"/>
          <w:color w:val="000000"/>
          <w:lang w:eastAsia="en-US"/>
        </w:rPr>
        <w:t>furano</w:t>
      </w:r>
      <w:proofErr w:type="spellEnd"/>
      <w:r w:rsidRPr="00942CC1">
        <w:rPr>
          <w:rFonts w:ascii="TimesNewRoman" w:hAnsi="TimesNewRoman" w:cs="TimesNewRoman"/>
          <w:color w:val="000000"/>
          <w:lang w:eastAsia="en-US"/>
        </w:rPr>
        <w:t xml:space="preserve"> koncentracijos ištirta 10 mėginių</w:t>
      </w:r>
      <w:r>
        <w:rPr>
          <w:rFonts w:ascii="TimesNewRoman" w:hAnsi="TimesNewRoman" w:cs="TimesNewRoman"/>
          <w:color w:val="000000"/>
          <w:lang w:eastAsia="en-US"/>
        </w:rPr>
        <w:t xml:space="preserve"> kaip ir buvo suplanuota, </w:t>
      </w:r>
      <w:r w:rsidRPr="00942CC1">
        <w:rPr>
          <w:rFonts w:ascii="TimesNewRoman" w:hAnsi="TimesNewRoman" w:cs="TimesNewRoman"/>
          <w:color w:val="000000"/>
          <w:lang w:eastAsia="en-US"/>
        </w:rPr>
        <w:t xml:space="preserve">akrilamido kiekio </w:t>
      </w:r>
      <w:r>
        <w:rPr>
          <w:rFonts w:ascii="TimesNewRoman" w:hAnsi="TimesNewRoman" w:cs="TimesNewRoman"/>
          <w:color w:val="000000"/>
          <w:lang w:eastAsia="en-US"/>
        </w:rPr>
        <w:t>nustatymui buvo ištirti 42 mėginiai, o numatyta buvo 40, mikotoksinų kiekio nustatymui buvo ištirti</w:t>
      </w:r>
      <w:r w:rsidRPr="00942CC1">
        <w:rPr>
          <w:rFonts w:ascii="TimesNewRoman" w:hAnsi="TimesNewRoman" w:cs="TimesNewRoman"/>
          <w:color w:val="000000"/>
          <w:lang w:eastAsia="en-US"/>
        </w:rPr>
        <w:t xml:space="preserve"> ištirta po </w:t>
      </w:r>
      <w:r>
        <w:rPr>
          <w:rFonts w:ascii="TimesNewRoman" w:hAnsi="TimesNewRoman" w:cs="TimesNewRoman"/>
          <w:color w:val="000000"/>
          <w:lang w:eastAsia="en-US"/>
        </w:rPr>
        <w:t>32</w:t>
      </w:r>
      <w:r w:rsidRPr="00942CC1">
        <w:rPr>
          <w:rFonts w:ascii="TimesNewRoman" w:hAnsi="TimesNewRoman" w:cs="TimesNewRoman"/>
          <w:color w:val="000000"/>
          <w:lang w:eastAsia="en-US"/>
        </w:rPr>
        <w:t xml:space="preserve"> mėgini</w:t>
      </w:r>
      <w:r>
        <w:rPr>
          <w:rFonts w:ascii="TimesNewRoman" w:hAnsi="TimesNewRoman" w:cs="TimesNewRoman"/>
          <w:color w:val="000000"/>
          <w:lang w:eastAsia="en-US"/>
        </w:rPr>
        <w:t>ai, arba 4 mėginiais daugiau nei buvo planuota.</w:t>
      </w:r>
    </w:p>
    <w:p w14:paraId="1DB6853C" w14:textId="77777777" w:rsidR="0035442D" w:rsidRPr="00942CC1" w:rsidRDefault="0035442D" w:rsidP="0035442D">
      <w:pPr>
        <w:tabs>
          <w:tab w:val="left" w:pos="700"/>
        </w:tabs>
        <w:jc w:val="both"/>
        <w:rPr>
          <w:lang w:eastAsia="en-US"/>
        </w:rPr>
      </w:pPr>
      <w:r>
        <w:rPr>
          <w:lang w:eastAsia="en-US"/>
        </w:rPr>
        <w:tab/>
      </w:r>
      <w:r w:rsidRPr="00942CC1">
        <w:rPr>
          <w:lang w:eastAsia="en-US"/>
        </w:rPr>
        <w:t>Ištirtuose  (50%) mėginiuose pesticidų likučiai nustatyti</w:t>
      </w:r>
      <w:r>
        <w:rPr>
          <w:lang w:eastAsia="en-US"/>
        </w:rPr>
        <w:t>,</w:t>
      </w:r>
      <w:r w:rsidRPr="00942CC1">
        <w:rPr>
          <w:lang w:eastAsia="en-US"/>
        </w:rPr>
        <w:t xml:space="preserve"> bet neviršijo didžiausių leistinų normų, pesticidų likučių nerasta </w:t>
      </w:r>
      <w:r>
        <w:rPr>
          <w:lang w:eastAsia="en-US"/>
        </w:rPr>
        <w:t>213</w:t>
      </w:r>
      <w:r w:rsidRPr="00942CC1">
        <w:rPr>
          <w:lang w:eastAsia="en-US"/>
        </w:rPr>
        <w:t xml:space="preserve"> mėginiuose (</w:t>
      </w:r>
      <w:r>
        <w:rPr>
          <w:lang w:eastAsia="en-US"/>
        </w:rPr>
        <w:t>54,3</w:t>
      </w:r>
      <w:r w:rsidRPr="00942CC1">
        <w:rPr>
          <w:lang w:eastAsia="en-US"/>
        </w:rPr>
        <w:t xml:space="preserve">%), </w:t>
      </w:r>
      <w:r>
        <w:rPr>
          <w:lang w:eastAsia="en-US"/>
        </w:rPr>
        <w:t>tuo tarpu 4</w:t>
      </w:r>
      <w:r w:rsidRPr="00942CC1">
        <w:rPr>
          <w:lang w:eastAsia="en-US"/>
        </w:rPr>
        <w:t xml:space="preserve"> atvejai</w:t>
      </w:r>
      <w:r>
        <w:rPr>
          <w:lang w:eastAsia="en-US"/>
        </w:rPr>
        <w:t>s (1</w:t>
      </w:r>
      <w:r w:rsidRPr="00942CC1">
        <w:rPr>
          <w:lang w:eastAsia="en-US"/>
        </w:rPr>
        <w:t>%)</w:t>
      </w:r>
      <w:r>
        <w:rPr>
          <w:lang w:eastAsia="en-US"/>
        </w:rPr>
        <w:t xml:space="preserve"> viršijo </w:t>
      </w:r>
      <w:r w:rsidRPr="00942CC1">
        <w:rPr>
          <w:lang w:eastAsia="en-US"/>
        </w:rPr>
        <w:t>didžiausias leistinas norm</w:t>
      </w:r>
      <w:r>
        <w:rPr>
          <w:lang w:eastAsia="en-US"/>
        </w:rPr>
        <w:t>a</w:t>
      </w:r>
      <w:r w:rsidRPr="00942CC1">
        <w:rPr>
          <w:lang w:eastAsia="en-US"/>
        </w:rPr>
        <w:t>s</w:t>
      </w:r>
      <w:r>
        <w:rPr>
          <w:lang w:eastAsia="en-US"/>
        </w:rPr>
        <w:t xml:space="preserve">: </w:t>
      </w:r>
      <w:proofErr w:type="spellStart"/>
      <w:r>
        <w:rPr>
          <w:lang w:eastAsia="en-US"/>
        </w:rPr>
        <w:t>ilgagrūdžiuose</w:t>
      </w:r>
      <w:proofErr w:type="spellEnd"/>
      <w:r>
        <w:rPr>
          <w:lang w:eastAsia="en-US"/>
        </w:rPr>
        <w:t xml:space="preserve"> plikytuose ryžiuose iš Vietnamo, Braškėse iš Lietuvos, granatuose iš Turkijos, ekologiškuose žaliose cukinijose iš Ispanijos.</w:t>
      </w:r>
    </w:p>
    <w:p w14:paraId="7E220258" w14:textId="77777777" w:rsidR="0035442D" w:rsidRPr="0019516B" w:rsidRDefault="0035442D" w:rsidP="0035442D">
      <w:pPr>
        <w:ind w:firstLine="720"/>
        <w:jc w:val="both"/>
        <w:rPr>
          <w:lang w:eastAsia="en-US"/>
        </w:rPr>
      </w:pPr>
      <w:r>
        <w:rPr>
          <w:lang w:eastAsia="en-US"/>
        </w:rPr>
        <w:t>Nesaugios produkcijos kiekis,</w:t>
      </w:r>
      <w:r w:rsidRPr="00942CC1">
        <w:rPr>
          <w:lang w:eastAsia="en-US"/>
        </w:rPr>
        <w:t xml:space="preserve"> l</w:t>
      </w:r>
      <w:r>
        <w:rPr>
          <w:lang w:eastAsia="en-US"/>
        </w:rPr>
        <w:t>y</w:t>
      </w:r>
      <w:r w:rsidRPr="00942CC1">
        <w:rPr>
          <w:lang w:eastAsia="en-US"/>
        </w:rPr>
        <w:t>ginant su 201</w:t>
      </w:r>
      <w:r>
        <w:rPr>
          <w:lang w:eastAsia="en-US"/>
        </w:rPr>
        <w:t>2</w:t>
      </w:r>
      <w:r w:rsidRPr="00942CC1">
        <w:rPr>
          <w:lang w:eastAsia="en-US"/>
        </w:rPr>
        <w:t xml:space="preserve"> metais </w:t>
      </w:r>
      <w:r>
        <w:rPr>
          <w:lang w:eastAsia="en-US"/>
        </w:rPr>
        <w:t>sumažėjo vienu mėginiu.</w:t>
      </w:r>
    </w:p>
    <w:p w14:paraId="79C0E8F8" w14:textId="77777777" w:rsidR="0035442D" w:rsidRDefault="0035442D" w:rsidP="0035442D">
      <w:pPr>
        <w:ind w:firstLine="720"/>
        <w:jc w:val="both"/>
        <w:rPr>
          <w:lang w:eastAsia="en-US"/>
        </w:rPr>
      </w:pPr>
      <w:proofErr w:type="spellStart"/>
      <w:r w:rsidRPr="0019516B">
        <w:rPr>
          <w:lang w:eastAsia="en-US"/>
        </w:rPr>
        <w:t>Aflatoksinai</w:t>
      </w:r>
      <w:proofErr w:type="spellEnd"/>
      <w:r w:rsidRPr="0019516B">
        <w:rPr>
          <w:lang w:eastAsia="en-US"/>
        </w:rPr>
        <w:t xml:space="preserve">, </w:t>
      </w:r>
      <w:proofErr w:type="spellStart"/>
      <w:r w:rsidRPr="0019516B">
        <w:rPr>
          <w:lang w:eastAsia="en-US"/>
        </w:rPr>
        <w:t>ochratoksinas</w:t>
      </w:r>
      <w:proofErr w:type="spellEnd"/>
      <w:r w:rsidRPr="0019516B">
        <w:rPr>
          <w:lang w:eastAsia="en-US"/>
        </w:rPr>
        <w:t xml:space="preserve"> A tirtuose produktuose - riešutuose, grūdų produktuose, džiovintuose vaisiuose, kavoje, prieskoniuose, kūdikių ir vaikų maiste neviršijo leistinų normų.</w:t>
      </w:r>
    </w:p>
    <w:p w14:paraId="78B66DCC" w14:textId="77777777" w:rsidR="0035442D" w:rsidRPr="0019516B" w:rsidRDefault="0035442D" w:rsidP="0035442D">
      <w:pPr>
        <w:ind w:firstLine="720"/>
        <w:jc w:val="both"/>
        <w:rPr>
          <w:lang w:eastAsia="en-US"/>
        </w:rPr>
      </w:pPr>
      <w:r>
        <w:rPr>
          <w:lang w:eastAsia="en-US"/>
        </w:rPr>
        <w:t xml:space="preserve">Taip pat buvo tiriami mikotoksinai: </w:t>
      </w:r>
      <w:proofErr w:type="spellStart"/>
      <w:r>
        <w:rPr>
          <w:lang w:eastAsia="en-US"/>
        </w:rPr>
        <w:t>patulinas</w:t>
      </w:r>
      <w:proofErr w:type="spellEnd"/>
      <w:r>
        <w:rPr>
          <w:lang w:eastAsia="en-US"/>
        </w:rPr>
        <w:t xml:space="preserve"> obuolių sultyse, </w:t>
      </w:r>
      <w:proofErr w:type="spellStart"/>
      <w:r>
        <w:rPr>
          <w:lang w:eastAsia="en-US"/>
        </w:rPr>
        <w:t>deoksinivalenolis</w:t>
      </w:r>
      <w:proofErr w:type="spellEnd"/>
      <w:r>
        <w:rPr>
          <w:lang w:eastAsia="en-US"/>
        </w:rPr>
        <w:t xml:space="preserve"> grūduose. Nustatyti kiekiai neviršijo didžiausių leistinų kiekių.</w:t>
      </w:r>
    </w:p>
    <w:p w14:paraId="099F271F" w14:textId="77777777" w:rsidR="0035442D" w:rsidRPr="007120AE" w:rsidRDefault="0035442D" w:rsidP="0035442D">
      <w:pPr>
        <w:ind w:firstLine="720"/>
        <w:jc w:val="both"/>
        <w:rPr>
          <w:lang w:eastAsia="en-US"/>
        </w:rPr>
      </w:pPr>
      <w:smartTag w:uri="urn:schemas-microsoft-com:office:smarttags" w:element="metricconverter">
        <w:smartTagPr>
          <w:attr w:name="ProductID" w:val="2013 m"/>
        </w:smartTagPr>
        <w:r w:rsidRPr="009A0E59">
          <w:rPr>
            <w:lang w:eastAsia="en-US"/>
          </w:rPr>
          <w:t>2013 m</w:t>
        </w:r>
      </w:smartTag>
      <w:r>
        <w:rPr>
          <w:lang w:eastAsia="en-US"/>
        </w:rPr>
        <w:t>. buvo atrinkta ir ištirti 42 akrilamido mėginiai</w:t>
      </w:r>
      <w:r w:rsidRPr="009A0E59">
        <w:rPr>
          <w:lang w:eastAsia="en-US"/>
        </w:rPr>
        <w:t xml:space="preserve">. </w:t>
      </w:r>
      <w:r>
        <w:rPr>
          <w:lang w:eastAsia="en-US"/>
        </w:rPr>
        <w:t xml:space="preserve">Viename mėginyje, natūralioje kavoje nustatytas akrilamido kiekis viršijo rekomendacijoje pateiktas normas 450 </w:t>
      </w:r>
      <w:proofErr w:type="spellStart"/>
      <w:r>
        <w:rPr>
          <w:lang w:eastAsia="en-US"/>
        </w:rPr>
        <w:t>mkg</w:t>
      </w:r>
      <w:proofErr w:type="spellEnd"/>
      <w:r>
        <w:rPr>
          <w:lang w:eastAsia="en-US"/>
        </w:rPr>
        <w:t>/kg (536,3 ± 64,3</w:t>
      </w:r>
      <w:r w:rsidRPr="00BC1213">
        <w:rPr>
          <w:lang w:eastAsia="en-US"/>
        </w:rPr>
        <w:t xml:space="preserve"> </w:t>
      </w:r>
      <w:proofErr w:type="spellStart"/>
      <w:r>
        <w:rPr>
          <w:lang w:eastAsia="en-US"/>
        </w:rPr>
        <w:t>mkg</w:t>
      </w:r>
      <w:proofErr w:type="spellEnd"/>
      <w:r>
        <w:rPr>
          <w:lang w:eastAsia="en-US"/>
        </w:rPr>
        <w:t>/kg)</w:t>
      </w:r>
      <w:r w:rsidRPr="00BC1213">
        <w:rPr>
          <w:lang w:eastAsia="en-US"/>
        </w:rPr>
        <w:t xml:space="preserve">. </w:t>
      </w:r>
      <w:r>
        <w:rPr>
          <w:lang w:eastAsia="en-US"/>
        </w:rPr>
        <w:t xml:space="preserve">Gamintojas atsižvelgė į rekomendacijas iš nesaugų maistą pasižadėjo pašalinti iš rinkos. </w:t>
      </w:r>
      <w:r w:rsidRPr="00BC1213">
        <w:rPr>
          <w:lang w:eastAsia="en-US"/>
        </w:rPr>
        <w:t xml:space="preserve">Visuose </w:t>
      </w:r>
      <w:r>
        <w:rPr>
          <w:lang w:eastAsia="en-US"/>
        </w:rPr>
        <w:t>likusiuos</w:t>
      </w:r>
      <w:r w:rsidRPr="00BC1213">
        <w:rPr>
          <w:lang w:eastAsia="en-US"/>
        </w:rPr>
        <w:t xml:space="preserve">e mėginiuose akrilamido kiekiai neviršijo </w:t>
      </w:r>
      <w:r>
        <w:rPr>
          <w:lang w:eastAsia="en-US"/>
        </w:rPr>
        <w:t>Komisijos rekomendacijose 2010/307/ES ir 2013/647/ES rekomenduojamų akrilamido kiekių.</w:t>
      </w:r>
    </w:p>
    <w:p w14:paraId="39AC750D" w14:textId="77777777" w:rsidR="006C2BA1" w:rsidRDefault="006C2BA1"/>
    <w:sectPr w:rsidR="006C2B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2D"/>
    <w:rsid w:val="001F7EAF"/>
    <w:rsid w:val="0035442D"/>
    <w:rsid w:val="006C2BA1"/>
    <w:rsid w:val="008E61AE"/>
    <w:rsid w:val="00E40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B053A6"/>
  <w15:docId w15:val="{7E8319C8-CB42-42E3-8A56-2E63DD72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2D"/>
    <w:pPr>
      <w:spacing w:after="0" w:line="240" w:lineRule="auto"/>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1AE"/>
    <w:rPr>
      <w:rFonts w:ascii="Tahoma" w:hAnsi="Tahoma" w:cs="Tahoma"/>
      <w:sz w:val="16"/>
      <w:szCs w:val="16"/>
    </w:rPr>
  </w:style>
  <w:style w:type="character" w:customStyle="1" w:styleId="BalloonTextChar">
    <w:name w:val="Balloon Text Char"/>
    <w:basedOn w:val="DefaultParagraphFont"/>
    <w:link w:val="BalloonText"/>
    <w:uiPriority w:val="99"/>
    <w:semiHidden/>
    <w:rsid w:val="008E61AE"/>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rumstiene\Desktop\MONITORINGAS_2014\Pesticidai%202008-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Ištirta</c:v>
          </c:tx>
          <c:invertIfNegative val="0"/>
          <c:dLbls>
            <c:dLbl>
              <c:idx val="3"/>
              <c:tx>
                <c:rich>
                  <a:bodyPr/>
                  <a:lstStyle/>
                  <a:p>
                    <a:r>
                      <a:rPr lang="lt-LT"/>
                      <a:t>291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79-4FD6-A550-43958AF1D6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Sheet1!$A$4:$H$4</c:f>
              <c:numCache>
                <c:formatCode>General</c:formatCode>
                <c:ptCount val="8"/>
                <c:pt idx="0">
                  <c:v>2008</c:v>
                </c:pt>
                <c:pt idx="1">
                  <c:v>2009</c:v>
                </c:pt>
                <c:pt idx="2">
                  <c:v>2010</c:v>
                </c:pt>
                <c:pt idx="3">
                  <c:v>2011</c:v>
                </c:pt>
                <c:pt idx="4">
                  <c:v>2012</c:v>
                </c:pt>
                <c:pt idx="5">
                  <c:v>2013</c:v>
                </c:pt>
                <c:pt idx="6">
                  <c:v>2014</c:v>
                </c:pt>
                <c:pt idx="7">
                  <c:v>2015</c:v>
                </c:pt>
              </c:numCache>
            </c:numRef>
          </c:cat>
          <c:val>
            <c:numRef>
              <c:f>Sheet1!$A$1:$H$1</c:f>
              <c:numCache>
                <c:formatCode>General</c:formatCode>
                <c:ptCount val="8"/>
                <c:pt idx="0">
                  <c:v>503</c:v>
                </c:pt>
                <c:pt idx="1">
                  <c:v>259</c:v>
                </c:pt>
                <c:pt idx="2">
                  <c:v>256</c:v>
                </c:pt>
                <c:pt idx="3">
                  <c:v>291</c:v>
                </c:pt>
                <c:pt idx="4">
                  <c:v>327</c:v>
                </c:pt>
                <c:pt idx="5">
                  <c:v>392</c:v>
                </c:pt>
                <c:pt idx="6">
                  <c:v>695</c:v>
                </c:pt>
                <c:pt idx="7">
                  <c:v>829</c:v>
                </c:pt>
              </c:numCache>
            </c:numRef>
          </c:val>
          <c:extLst>
            <c:ext xmlns:c16="http://schemas.microsoft.com/office/drawing/2014/chart" uri="{C3380CC4-5D6E-409C-BE32-E72D297353CC}">
              <c16:uniqueId val="{00000001-CA79-4FD6-A550-43958AF1D6E0}"/>
            </c:ext>
          </c:extLst>
        </c:ser>
        <c:ser>
          <c:idx val="1"/>
          <c:order val="1"/>
          <c:tx>
            <c:v>Neatitiko</c:v>
          </c:tx>
          <c:invertIfNegative val="0"/>
          <c:dLbls>
            <c:dLbl>
              <c:idx val="0"/>
              <c:tx>
                <c:rich>
                  <a:bodyPr/>
                  <a:lstStyle/>
                  <a:p>
                    <a:r>
                      <a:rPr lang="en-US"/>
                      <a:t>9 (3,8</a:t>
                    </a:r>
                    <a:r>
                      <a:rPr lang="en-US">
                        <a:latin typeface="Arial"/>
                        <a:cs typeface="Arial"/>
                      </a:rPr>
                      <a:t>%</a:t>
                    </a:r>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A79-4FD6-A550-43958AF1D6E0}"/>
                </c:ext>
              </c:extLst>
            </c:dLbl>
            <c:dLbl>
              <c:idx val="1"/>
              <c:tx>
                <c:rich>
                  <a:bodyPr/>
                  <a:lstStyle/>
                  <a:p>
                    <a:r>
                      <a:rPr lang="en-US"/>
                      <a:t>5 (1,8</a:t>
                    </a:r>
                    <a:r>
                      <a:rPr lang="en-US" sz="1000" b="0" i="0" u="none" strike="noStrike" baseline="0"/>
                      <a:t>%</a:t>
                    </a:r>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A79-4FD6-A550-43958AF1D6E0}"/>
                </c:ext>
              </c:extLst>
            </c:dLbl>
            <c:dLbl>
              <c:idx val="2"/>
              <c:tx>
                <c:rich>
                  <a:bodyPr/>
                  <a:lstStyle/>
                  <a:p>
                    <a:r>
                      <a:rPr lang="en-US"/>
                      <a:t>4 (1,9</a:t>
                    </a:r>
                    <a:r>
                      <a:rPr lang="en-US" sz="1000" b="0" i="0" u="none" strike="noStrike" baseline="0"/>
                      <a:t>%</a:t>
                    </a:r>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A79-4FD6-A550-43958AF1D6E0}"/>
                </c:ext>
              </c:extLst>
            </c:dLbl>
            <c:dLbl>
              <c:idx val="3"/>
              <c:tx>
                <c:rich>
                  <a:bodyPr/>
                  <a:lstStyle/>
                  <a:p>
                    <a:r>
                      <a:rPr lang="en-US"/>
                      <a:t>6 (1,5</a:t>
                    </a:r>
                    <a:r>
                      <a:rPr lang="en-US" sz="1000" b="0" i="0" u="none" strike="noStrike" baseline="0"/>
                      <a:t>%</a:t>
                    </a:r>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A79-4FD6-A550-43958AF1D6E0}"/>
                </c:ext>
              </c:extLst>
            </c:dLbl>
            <c:dLbl>
              <c:idx val="4"/>
              <c:tx>
                <c:rich>
                  <a:bodyPr/>
                  <a:lstStyle/>
                  <a:p>
                    <a:r>
                      <a:rPr lang="en-US"/>
                      <a:t>5 (1,6</a:t>
                    </a:r>
                    <a:r>
                      <a:rPr lang="en-US" sz="1000" b="0" i="0" u="none" strike="noStrike" baseline="0"/>
                      <a:t>%</a:t>
                    </a:r>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A79-4FD6-A550-43958AF1D6E0}"/>
                </c:ext>
              </c:extLst>
            </c:dLbl>
            <c:dLbl>
              <c:idx val="5"/>
              <c:tx>
                <c:rich>
                  <a:bodyPr/>
                  <a:lstStyle/>
                  <a:p>
                    <a:r>
                      <a:rPr lang="lt-LT"/>
                      <a:t>4 (1,0</a:t>
                    </a:r>
                    <a:r>
                      <a:rPr lang="lt-LT" sz="1000" b="0" i="0" u="none" strike="noStrike" baseline="0"/>
                      <a:t>%</a:t>
                    </a:r>
                    <a:r>
                      <a:rPr lang="lt-LT"/>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A79-4FD6-A550-43958AF1D6E0}"/>
                </c:ext>
              </c:extLst>
            </c:dLbl>
            <c:dLbl>
              <c:idx val="6"/>
              <c:tx>
                <c:rich>
                  <a:bodyPr/>
                  <a:lstStyle/>
                  <a:p>
                    <a:r>
                      <a:rPr lang="lt-LT"/>
                      <a:t>11(1,6</a:t>
                    </a:r>
                    <a:r>
                      <a:rPr lang="lt-LT" sz="1000" b="0" i="0" u="none" strike="noStrike" baseline="0"/>
                      <a:t>%</a:t>
                    </a:r>
                    <a:r>
                      <a:rPr lang="lt-LT"/>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CA79-4FD6-A550-43958AF1D6E0}"/>
                </c:ext>
              </c:extLst>
            </c:dLbl>
            <c:dLbl>
              <c:idx val="7"/>
              <c:layout>
                <c:manualLayout>
                  <c:x val="1.8471874818603413E-2"/>
                  <c:y val="8.658008658008658E-3"/>
                </c:manualLayout>
              </c:layout>
              <c:tx>
                <c:rich>
                  <a:bodyPr/>
                  <a:lstStyle/>
                  <a:p>
                    <a:r>
                      <a:rPr lang="en-US"/>
                      <a:t>8(0,96</a:t>
                    </a:r>
                    <a:r>
                      <a:rPr lang="en-US" sz="1000" b="0" i="0" u="none" strike="noStrike" baseline="0">
                        <a:effectLst/>
                      </a:rPr>
                      <a:t>%)</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A79-4FD6-A550-43958AF1D6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Sheet1!$A$4:$H$4</c:f>
              <c:numCache>
                <c:formatCode>General</c:formatCode>
                <c:ptCount val="8"/>
                <c:pt idx="0">
                  <c:v>2008</c:v>
                </c:pt>
                <c:pt idx="1">
                  <c:v>2009</c:v>
                </c:pt>
                <c:pt idx="2">
                  <c:v>2010</c:v>
                </c:pt>
                <c:pt idx="3">
                  <c:v>2011</c:v>
                </c:pt>
                <c:pt idx="4">
                  <c:v>2012</c:v>
                </c:pt>
                <c:pt idx="5">
                  <c:v>2013</c:v>
                </c:pt>
                <c:pt idx="6">
                  <c:v>2014</c:v>
                </c:pt>
                <c:pt idx="7">
                  <c:v>2015</c:v>
                </c:pt>
              </c:numCache>
            </c:numRef>
          </c:cat>
          <c:val>
            <c:numRef>
              <c:f>Sheet1!$A$2:$H$2</c:f>
              <c:numCache>
                <c:formatCode>General</c:formatCode>
                <c:ptCount val="8"/>
                <c:pt idx="0">
                  <c:v>9</c:v>
                </c:pt>
                <c:pt idx="1">
                  <c:v>5</c:v>
                </c:pt>
                <c:pt idx="2">
                  <c:v>4</c:v>
                </c:pt>
                <c:pt idx="3">
                  <c:v>6</c:v>
                </c:pt>
                <c:pt idx="4">
                  <c:v>5</c:v>
                </c:pt>
                <c:pt idx="5">
                  <c:v>4</c:v>
                </c:pt>
                <c:pt idx="6">
                  <c:v>11</c:v>
                </c:pt>
                <c:pt idx="7">
                  <c:v>8</c:v>
                </c:pt>
              </c:numCache>
            </c:numRef>
          </c:val>
          <c:extLst>
            <c:ext xmlns:c16="http://schemas.microsoft.com/office/drawing/2014/chart" uri="{C3380CC4-5D6E-409C-BE32-E72D297353CC}">
              <c16:uniqueId val="{0000000A-CA79-4FD6-A550-43958AF1D6E0}"/>
            </c:ext>
          </c:extLst>
        </c:ser>
        <c:dLbls>
          <c:showLegendKey val="0"/>
          <c:showVal val="0"/>
          <c:showCatName val="0"/>
          <c:showSerName val="0"/>
          <c:showPercent val="0"/>
          <c:showBubbleSize val="0"/>
        </c:dLbls>
        <c:gapWidth val="150"/>
        <c:axId val="88182784"/>
        <c:axId val="88185088"/>
      </c:barChart>
      <c:catAx>
        <c:axId val="88182784"/>
        <c:scaling>
          <c:orientation val="minMax"/>
        </c:scaling>
        <c:delete val="0"/>
        <c:axPos val="b"/>
        <c:numFmt formatCode="General" sourceLinked="1"/>
        <c:majorTickMark val="out"/>
        <c:minorTickMark val="none"/>
        <c:tickLblPos val="nextTo"/>
        <c:crossAx val="88185088"/>
        <c:crosses val="autoZero"/>
        <c:auto val="1"/>
        <c:lblAlgn val="ctr"/>
        <c:lblOffset val="100"/>
        <c:noMultiLvlLbl val="0"/>
      </c:catAx>
      <c:valAx>
        <c:axId val="88185088"/>
        <c:scaling>
          <c:orientation val="minMax"/>
        </c:scaling>
        <c:delete val="0"/>
        <c:axPos val="l"/>
        <c:majorGridlines/>
        <c:numFmt formatCode="General" sourceLinked="1"/>
        <c:majorTickMark val="out"/>
        <c:minorTickMark val="none"/>
        <c:tickLblPos val="nextTo"/>
        <c:crossAx val="88182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7921</Words>
  <Characters>4516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Drumstiene</dc:creator>
  <cp:lastModifiedBy>Virginijus Jakubavičius</cp:lastModifiedBy>
  <cp:revision>2</cp:revision>
  <dcterms:created xsi:type="dcterms:W3CDTF">2025-09-18T11:54:00Z</dcterms:created>
  <dcterms:modified xsi:type="dcterms:W3CDTF">2025-09-18T11:54:00Z</dcterms:modified>
</cp:coreProperties>
</file>