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BA8" w14:textId="77777777" w:rsidR="00FF1ECC" w:rsidRPr="00B10A37" w:rsidRDefault="00FF1ECC" w:rsidP="00FF1E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A37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sausio 26 d. sprendimu Nr. 66SV-8 „Dėl produkto (-ų) tiekimo rinkai uždraudimo“ UAB ,,Lašų duona“, įmonės kodas 173727496, Žemdirbių g. 4, Utena, </w:t>
      </w:r>
      <w:r w:rsidRPr="00B10A3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B10A37">
        <w:rPr>
          <w:rFonts w:ascii="Times New Roman" w:hAnsi="Times New Roman" w:cs="Times New Roman"/>
          <w:sz w:val="24"/>
          <w:szCs w:val="24"/>
        </w:rPr>
        <w:t>:</w:t>
      </w:r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grikių kruop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B10A37">
        <w:rPr>
          <w:rFonts w:ascii="Times New Roman" w:hAnsi="Times New Roman" w:cs="Times New Roman"/>
          <w:sz w:val="24"/>
          <w:szCs w:val="24"/>
          <w:lang w:eastAsia="lt-LT"/>
        </w:rPr>
        <w:t>s, kilmės šalis Kazachstanas, partijos Nr. 07/11, gautos iš Miko-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Export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LLP: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Republic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of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Kazakhstan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Kostanay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region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Kostanay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city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Uzkokoleinaya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street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9, pagal 2022-11-08 sąskaitą-faktūrą Nr. 00000000017, 2022-11-07 kokybės sertifikatas Nr. 0141317, kiekis 21 000 kg, pagal 2022-12-14 UAB „Lašų duona“ pateiktą Kruopų priėmimo žurnalą įmonėje suteiktas partijos Nr. 221121-1K, siunta sulaikyta įmonės sandėlyje</w:t>
      </w:r>
      <w:r w:rsidRPr="00B10A37">
        <w:rPr>
          <w:rFonts w:ascii="Times New Roman" w:hAnsi="Times New Roman" w:cs="Times New Roman"/>
          <w:sz w:val="24"/>
          <w:szCs w:val="24"/>
        </w:rPr>
        <w:t xml:space="preserve">, </w:t>
      </w:r>
      <w:r w:rsidRPr="00B10A37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34E790BB" w14:textId="77777777" w:rsidR="008542CC" w:rsidRDefault="008542CC"/>
    <w:sectPr w:rsidR="008542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CC"/>
    <w:rsid w:val="00707B5B"/>
    <w:rsid w:val="007B7118"/>
    <w:rsid w:val="008542CC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24C6"/>
  <w15:chartTrackingRefBased/>
  <w15:docId w15:val="{5D7BB3B7-3F11-4F1E-9C5B-6F25A35B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2025-09-22T06:04:00Z</dcterms:created>
  <dcterms:modified xsi:type="dcterms:W3CDTF">2025-09-22T06:04:00Z</dcterms:modified>
</cp:coreProperties>
</file>