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FDE" w14:textId="77777777" w:rsidR="00F75836" w:rsidRPr="007D786B" w:rsidRDefault="00F75836" w:rsidP="00F75836">
      <w:pPr>
        <w:widowControl/>
        <w:adjustRightInd/>
        <w:spacing w:line="240" w:lineRule="auto"/>
        <w:ind w:left="9072" w:right="567"/>
        <w:jc w:val="left"/>
        <w:textAlignment w:val="auto"/>
        <w:rPr>
          <w:rFonts w:ascii="Times New Roman" w:hAnsi="Times New Roman"/>
          <w:bCs/>
        </w:rPr>
      </w:pPr>
      <w:r w:rsidRPr="007D786B">
        <w:rPr>
          <w:rFonts w:ascii="Times New Roman" w:hAnsi="Times New Roman"/>
          <w:bCs/>
        </w:rPr>
        <w:t xml:space="preserve">Kokybės </w:t>
      </w:r>
      <w:r>
        <w:rPr>
          <w:rFonts w:ascii="Times New Roman" w:hAnsi="Times New Roman"/>
          <w:bCs/>
        </w:rPr>
        <w:t>sistemos programos KT-2-4-9</w:t>
      </w:r>
    </w:p>
    <w:p w14:paraId="7B9B2BA2" w14:textId="4C627ABE" w:rsidR="00F75836" w:rsidRPr="007D786B" w:rsidRDefault="00F75836" w:rsidP="00F75836">
      <w:pPr>
        <w:widowControl/>
        <w:adjustRightInd/>
        <w:spacing w:line="240" w:lineRule="auto"/>
        <w:ind w:left="9024" w:right="567"/>
        <w:textAlignment w:val="auto"/>
        <w:rPr>
          <w:rFonts w:ascii="Times New Roman" w:hAnsi="Times New Roman"/>
        </w:rPr>
      </w:pPr>
      <w:r w:rsidRPr="5BF76691">
        <w:rPr>
          <w:rFonts w:ascii="Times New Roman" w:hAnsi="Times New Roman"/>
        </w:rPr>
        <w:t xml:space="preserve">„Akvakultūros </w:t>
      </w:r>
      <w:r>
        <w:rPr>
          <w:rFonts w:ascii="Times New Roman" w:hAnsi="Times New Roman"/>
        </w:rPr>
        <w:t>gyvūnų ūkių</w:t>
      </w:r>
      <w:r w:rsidRPr="5BF76691">
        <w:rPr>
          <w:rFonts w:ascii="Times New Roman" w:hAnsi="Times New Roman"/>
        </w:rPr>
        <w:t xml:space="preserve"> valstybinė veterinarinė </w:t>
      </w:r>
      <w:r>
        <w:rPr>
          <w:rFonts w:ascii="Times New Roman" w:hAnsi="Times New Roman"/>
        </w:rPr>
        <w:t xml:space="preserve">    </w:t>
      </w:r>
      <w:r w:rsidRPr="5BF76691">
        <w:rPr>
          <w:rFonts w:ascii="Times New Roman" w:hAnsi="Times New Roman"/>
        </w:rPr>
        <w:t xml:space="preserve">kontrolė”                                                          </w:t>
      </w:r>
    </w:p>
    <w:p w14:paraId="0AE5ECF3" w14:textId="790BBC17" w:rsidR="00F75836" w:rsidRPr="00B24A89" w:rsidRDefault="00F75836" w:rsidP="00F75836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</w:rPr>
      </w:pPr>
      <w:r w:rsidRPr="007D786B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7D786B">
        <w:rPr>
          <w:rFonts w:ascii="Times New Roman" w:hAnsi="Times New Roman"/>
          <w:bCs/>
        </w:rPr>
        <w:tab/>
      </w:r>
      <w:r w:rsidRPr="007D786B">
        <w:rPr>
          <w:rFonts w:ascii="Times New Roman" w:hAnsi="Times New Roman"/>
          <w:bCs/>
        </w:rPr>
        <w:tab/>
      </w:r>
      <w:r w:rsidRPr="007D786B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</w:t>
      </w:r>
      <w:r w:rsidRPr="00B24A89">
        <w:rPr>
          <w:rFonts w:ascii="Times New Roman" w:hAnsi="Times New Roman"/>
          <w:bCs/>
        </w:rPr>
        <w:t>2 priedas</w:t>
      </w:r>
    </w:p>
    <w:p w14:paraId="31BFECF0" w14:textId="77777777" w:rsidR="00F75836" w:rsidRPr="00F904B8" w:rsidRDefault="00F75836" w:rsidP="00F75836">
      <w:pPr>
        <w:tabs>
          <w:tab w:val="left" w:pos="4680"/>
        </w:tabs>
        <w:rPr>
          <w:rFonts w:eastAsia="Arial Unicode MS"/>
          <w:b/>
          <w:szCs w:val="24"/>
        </w:rPr>
      </w:pPr>
    </w:p>
    <w:p w14:paraId="2AF171AE" w14:textId="77777777" w:rsidR="00F75836" w:rsidRPr="00705960" w:rsidRDefault="00F75836" w:rsidP="00F75836">
      <w:pPr>
        <w:snapToGrid w:val="0"/>
        <w:jc w:val="center"/>
        <w:rPr>
          <w:rFonts w:ascii="Times New Roman" w:hAnsi="Times New Roman"/>
          <w:b/>
          <w:bCs/>
          <w:caps/>
          <w:szCs w:val="24"/>
        </w:rPr>
      </w:pPr>
      <w:r w:rsidRPr="00705960">
        <w:rPr>
          <w:rFonts w:ascii="Times New Roman" w:hAnsi="Times New Roman"/>
          <w:b/>
          <w:szCs w:val="24"/>
          <w:lang w:eastAsia="lt-LT"/>
        </w:rPr>
        <w:t>BENDRIEJI REIKALAVIMAI AKVAKULT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ROS </w:t>
      </w:r>
      <w:r>
        <w:rPr>
          <w:rFonts w:ascii="Times New Roman" w:hAnsi="Times New Roman"/>
          <w:b/>
          <w:szCs w:val="24"/>
          <w:lang w:eastAsia="lt-LT"/>
        </w:rPr>
        <w:t xml:space="preserve">GYVŪNŲ 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KIUI </w:t>
      </w:r>
    </w:p>
    <w:p w14:paraId="0BA2E66C" w14:textId="77777777" w:rsidR="00F75836" w:rsidRPr="00705960" w:rsidRDefault="00F75836" w:rsidP="00F75836">
      <w:pPr>
        <w:tabs>
          <w:tab w:val="left" w:pos="1920"/>
          <w:tab w:val="left" w:pos="3390"/>
          <w:tab w:val="center" w:pos="4309"/>
          <w:tab w:val="left" w:pos="7560"/>
        </w:tabs>
        <w:rPr>
          <w:rFonts w:ascii="Times New Roman" w:eastAsia="Arial Unicode MS" w:hAnsi="Times New Roman"/>
          <w:szCs w:val="24"/>
        </w:rPr>
      </w:pPr>
    </w:p>
    <w:p w14:paraId="036E7848" w14:textId="77777777" w:rsidR="00F75836" w:rsidRPr="00705960" w:rsidRDefault="00F75836" w:rsidP="00F75836">
      <w:pPr>
        <w:spacing w:line="240" w:lineRule="auto"/>
        <w:rPr>
          <w:rFonts w:ascii="Times New Roman" w:eastAsia="Arial Unicode MS" w:hAnsi="Times New Roman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884"/>
        <w:gridCol w:w="951"/>
        <w:gridCol w:w="992"/>
        <w:gridCol w:w="1418"/>
        <w:gridCol w:w="2659"/>
      </w:tblGrid>
      <w:tr w:rsidR="00F75836" w:rsidRPr="00C87EFE" w14:paraId="54F9AF70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14:paraId="40091ABA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385330BB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A8143A2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Reikalavimas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7C0C858D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Teis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ė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076C5B0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 xml:space="preserve">Atitikties 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į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vertinimas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62EDB9B1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t>Reikalavimo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footnoteReference w:id="1"/>
            </w:r>
          </w:p>
        </w:tc>
      </w:tr>
      <w:tr w:rsidR="00F75836" w:rsidRPr="00C87EFE" w14:paraId="185BDA79" w14:textId="77777777" w:rsidTr="001903F1">
        <w:trPr>
          <w:trHeight w:val="300"/>
        </w:trPr>
        <w:tc>
          <w:tcPr>
            <w:tcW w:w="709" w:type="dxa"/>
          </w:tcPr>
          <w:p w14:paraId="09CC4A5C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7D4D69C2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4" w:type="dxa"/>
          </w:tcPr>
          <w:p w14:paraId="1DDF3C7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D7AF" w14:textId="77777777" w:rsidR="00F75836" w:rsidRPr="00D971DC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2135E" w14:textId="77777777" w:rsidR="00F75836" w:rsidRPr="00D971DC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DB8DE" w14:textId="77777777" w:rsidR="00F75836" w:rsidRPr="00D971DC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Netaikoma/ Neaktualu</w:t>
            </w:r>
          </w:p>
        </w:tc>
        <w:tc>
          <w:tcPr>
            <w:tcW w:w="2659" w:type="dxa"/>
          </w:tcPr>
          <w:p w14:paraId="1B39ED9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236E6BEA" w14:textId="77777777" w:rsidTr="001903F1">
        <w:trPr>
          <w:trHeight w:val="300"/>
        </w:trPr>
        <w:tc>
          <w:tcPr>
            <w:tcW w:w="10910" w:type="dxa"/>
            <w:gridSpan w:val="7"/>
          </w:tcPr>
          <w:p w14:paraId="16D92508" w14:textId="77777777" w:rsidR="00F75836" w:rsidRPr="00C87EFE" w:rsidRDefault="00F75836" w:rsidP="00F75836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C87E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Bendrieji reikalavimai</w:t>
            </w:r>
          </w:p>
        </w:tc>
      </w:tr>
      <w:tr w:rsidR="00F75836" w:rsidRPr="00C87EFE" w14:paraId="22AD3D8A" w14:textId="77777777" w:rsidTr="001903F1">
        <w:trPr>
          <w:trHeight w:val="300"/>
        </w:trPr>
        <w:tc>
          <w:tcPr>
            <w:tcW w:w="709" w:type="dxa"/>
          </w:tcPr>
          <w:p w14:paraId="5E2EB8D6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8DC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veterinarinio patvirtinimo numer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vykdomai veiklai?</w:t>
            </w:r>
          </w:p>
        </w:tc>
        <w:tc>
          <w:tcPr>
            <w:tcW w:w="1884" w:type="dxa"/>
          </w:tcPr>
          <w:p w14:paraId="610D5812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176 str. 1 dalis, </w:t>
            </w:r>
            <w:hyperlink r:id="rId8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00705960">
              <w:rPr>
                <w:rFonts w:ascii="Times New Roman" w:hAnsi="Times New Roman"/>
              </w:rPr>
              <w:t xml:space="preserve"> 4 str. </w:t>
            </w:r>
          </w:p>
        </w:tc>
        <w:tc>
          <w:tcPr>
            <w:tcW w:w="951" w:type="dxa"/>
          </w:tcPr>
          <w:p w14:paraId="57F896C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6BE6F18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   </w:t>
            </w:r>
          </w:p>
        </w:tc>
        <w:tc>
          <w:tcPr>
            <w:tcW w:w="1418" w:type="dxa"/>
          </w:tcPr>
          <w:p w14:paraId="02B8DB24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08BBAB74" w14:textId="77777777" w:rsidR="00F75836" w:rsidRPr="00705960" w:rsidRDefault="00F75836" w:rsidP="001903F1">
            <w:pPr>
              <w:spacing w:line="240" w:lineRule="auto"/>
              <w:ind w:left="360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</w:rPr>
              <w:t>vykdomas veiklas nurodyti patikrinimo akto papildomoje informacijoje</w:t>
            </w:r>
          </w:p>
        </w:tc>
      </w:tr>
      <w:tr w:rsidR="00F75836" w:rsidRPr="00C87EFE" w14:paraId="54068608" w14:textId="77777777" w:rsidTr="001903F1">
        <w:trPr>
          <w:trHeight w:val="300"/>
        </w:trPr>
        <w:tc>
          <w:tcPr>
            <w:tcW w:w="709" w:type="dxa"/>
          </w:tcPr>
          <w:p w14:paraId="6B1E8AAC" w14:textId="77777777" w:rsidR="00F75836" w:rsidRPr="00BA2293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</w:t>
            </w:r>
          </w:p>
        </w:tc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AD83E" w14:textId="77777777" w:rsidR="00F75836" w:rsidRPr="00BA2293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  <w:r w:rsidRPr="00A26B28">
              <w:rPr>
                <w:rFonts w:ascii="Times New Roman" w:hAnsi="Times New Roman"/>
              </w:rPr>
              <w:t>Ar Valstybin</w:t>
            </w:r>
            <w:r w:rsidRPr="00A26B28">
              <w:rPr>
                <w:rFonts w:ascii="Times New Roman" w:hAnsi="Times New Roman" w:hint="eastAsia"/>
              </w:rPr>
              <w:t>ė</w:t>
            </w:r>
            <w:r w:rsidRPr="00A26B28">
              <w:rPr>
                <w:rFonts w:ascii="Times New Roman" w:hAnsi="Times New Roman"/>
              </w:rPr>
              <w:t>s veterinarin</w:t>
            </w:r>
            <w:r w:rsidRPr="00A26B28">
              <w:rPr>
                <w:rFonts w:ascii="Times New Roman" w:hAnsi="Times New Roman" w:hint="eastAsia"/>
              </w:rPr>
              <w:t>ė</w:t>
            </w:r>
            <w:r w:rsidRPr="00A26B28">
              <w:rPr>
                <w:rFonts w:ascii="Times New Roman" w:hAnsi="Times New Roman"/>
              </w:rPr>
              <w:t>s kontrol</w:t>
            </w:r>
            <w:r w:rsidRPr="00A26B28">
              <w:rPr>
                <w:rFonts w:ascii="Times New Roman" w:hAnsi="Times New Roman" w:hint="eastAsia"/>
              </w:rPr>
              <w:t>ė</w:t>
            </w:r>
            <w:r w:rsidRPr="00A26B28">
              <w:rPr>
                <w:rFonts w:ascii="Times New Roman" w:hAnsi="Times New Roman"/>
              </w:rPr>
              <w:t>s subjekt</w:t>
            </w:r>
            <w:r w:rsidRPr="00A26B28">
              <w:rPr>
                <w:rFonts w:ascii="Times New Roman" w:hAnsi="Times New Roman" w:hint="eastAsia"/>
              </w:rPr>
              <w:t>ų</w:t>
            </w:r>
            <w:r w:rsidRPr="00A26B28">
              <w:rPr>
                <w:rFonts w:ascii="Times New Roman" w:hAnsi="Times New Roman"/>
              </w:rPr>
              <w:t xml:space="preserve">, išskyrus maisto tvarkymo subjektus, sąraše (toliau </w:t>
            </w:r>
            <w:r w:rsidRPr="00A26B28">
              <w:rPr>
                <w:rFonts w:ascii="Times New Roman" w:hAnsi="Times New Roman" w:hint="eastAsia"/>
              </w:rPr>
              <w:t>–</w:t>
            </w:r>
            <w:r w:rsidRPr="00A26B28">
              <w:rPr>
                <w:rFonts w:ascii="Times New Roman" w:hAnsi="Times New Roman"/>
              </w:rPr>
              <w:t xml:space="preserve"> VKO) nurodytas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F75836" w:rsidRPr="00C87EFE" w14:paraId="1D531329" w14:textId="77777777" w:rsidTr="001903F1">
        <w:trPr>
          <w:trHeight w:val="300"/>
        </w:trPr>
        <w:tc>
          <w:tcPr>
            <w:tcW w:w="709" w:type="dxa"/>
          </w:tcPr>
          <w:p w14:paraId="1950D400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77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</w:rPr>
              <w:t>suteiktas veterinarinio patvirtinimo numeris?</w:t>
            </w:r>
          </w:p>
        </w:tc>
        <w:tc>
          <w:tcPr>
            <w:tcW w:w="1884" w:type="dxa"/>
          </w:tcPr>
          <w:p w14:paraId="0A4894FF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a) p.</w:t>
            </w:r>
          </w:p>
        </w:tc>
        <w:tc>
          <w:tcPr>
            <w:tcW w:w="951" w:type="dxa"/>
          </w:tcPr>
          <w:p w14:paraId="1D88ADA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1F7B20FC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51AD2F4C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659" w:type="dxa"/>
          </w:tcPr>
          <w:p w14:paraId="7BFC68F2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F75836" w:rsidRPr="00C87EFE" w14:paraId="0718C137" w14:textId="77777777" w:rsidTr="001903F1">
        <w:trPr>
          <w:trHeight w:val="300"/>
        </w:trPr>
        <w:tc>
          <w:tcPr>
            <w:tcW w:w="709" w:type="dxa"/>
          </w:tcPr>
          <w:p w14:paraId="1712E07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805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5960">
              <w:rPr>
                <w:rFonts w:ascii="Times New Roman" w:hAnsi="Times New Roman"/>
                <w:bCs/>
              </w:rPr>
              <w:t>suteikto veterinarinio patvirtinimo data arba veterinarinio patvirtinimo bet kokio sustabdymo arba panaikinimo data?</w:t>
            </w:r>
          </w:p>
        </w:tc>
        <w:tc>
          <w:tcPr>
            <w:tcW w:w="1884" w:type="dxa"/>
          </w:tcPr>
          <w:p w14:paraId="5349C523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b) p.</w:t>
            </w:r>
          </w:p>
        </w:tc>
        <w:tc>
          <w:tcPr>
            <w:tcW w:w="951" w:type="dxa"/>
          </w:tcPr>
          <w:p w14:paraId="501CAA14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6B59D59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    </w:t>
            </w:r>
          </w:p>
        </w:tc>
        <w:tc>
          <w:tcPr>
            <w:tcW w:w="1418" w:type="dxa"/>
          </w:tcPr>
          <w:p w14:paraId="3062689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4A53ACCB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454896C5" w14:textId="77777777" w:rsidTr="001903F1">
        <w:trPr>
          <w:trHeight w:val="300"/>
        </w:trPr>
        <w:tc>
          <w:tcPr>
            <w:tcW w:w="709" w:type="dxa"/>
          </w:tcPr>
          <w:p w14:paraId="5BB909CF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2.3.</w:t>
            </w:r>
          </w:p>
        </w:tc>
        <w:tc>
          <w:tcPr>
            <w:tcW w:w="2297" w:type="dxa"/>
          </w:tcPr>
          <w:p w14:paraId="64BA3831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>patvirtinto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arba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ūkių</w:t>
            </w:r>
            <w:r w:rsidRPr="00705960">
              <w:rPr>
                <w:rFonts w:ascii="Times New Roman" w:hAnsi="Times New Roman"/>
              </w:rPr>
              <w:t xml:space="preserve"> grup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vietos adresas ir geografin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koordinat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(ilgumą ir platumą)?</w:t>
            </w:r>
          </w:p>
        </w:tc>
        <w:tc>
          <w:tcPr>
            <w:tcW w:w="1884" w:type="dxa"/>
          </w:tcPr>
          <w:p w14:paraId="570AA284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c) p.</w:t>
            </w:r>
          </w:p>
        </w:tc>
        <w:tc>
          <w:tcPr>
            <w:tcW w:w="951" w:type="dxa"/>
          </w:tcPr>
          <w:p w14:paraId="4E097F50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D660657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2E0E0F20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6C66F818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4B8F3B40" w14:textId="77777777" w:rsidTr="001903F1">
        <w:trPr>
          <w:trHeight w:val="300"/>
        </w:trPr>
        <w:tc>
          <w:tcPr>
            <w:tcW w:w="709" w:type="dxa"/>
          </w:tcPr>
          <w:p w14:paraId="0CCCECB2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2.4.</w:t>
            </w:r>
          </w:p>
        </w:tc>
        <w:tc>
          <w:tcPr>
            <w:tcW w:w="2297" w:type="dxa"/>
          </w:tcPr>
          <w:p w14:paraId="2CA11612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5960">
              <w:rPr>
                <w:rFonts w:ascii="Times New Roman" w:hAnsi="Times New Roman"/>
              </w:rPr>
              <w:t>atitinkam</w:t>
            </w:r>
            <w:r>
              <w:rPr>
                <w:rFonts w:ascii="Times New Roman" w:hAnsi="Times New Roman"/>
              </w:rPr>
              <w:t>o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kio tipas?</w:t>
            </w:r>
          </w:p>
        </w:tc>
        <w:tc>
          <w:tcPr>
            <w:tcW w:w="1884" w:type="dxa"/>
          </w:tcPr>
          <w:p w14:paraId="3AD88D3A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d) p.</w:t>
            </w:r>
          </w:p>
        </w:tc>
        <w:tc>
          <w:tcPr>
            <w:tcW w:w="951" w:type="dxa"/>
          </w:tcPr>
          <w:p w14:paraId="20AEB7F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9D587E1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FCA9F3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5B4A46E9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79432AC0" w14:textId="77777777" w:rsidTr="001903F1">
        <w:trPr>
          <w:trHeight w:val="300"/>
        </w:trPr>
        <w:tc>
          <w:tcPr>
            <w:tcW w:w="709" w:type="dxa"/>
          </w:tcPr>
          <w:p w14:paraId="50E0E196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2.5.</w:t>
            </w:r>
          </w:p>
        </w:tc>
        <w:tc>
          <w:tcPr>
            <w:tcW w:w="2297" w:type="dxa"/>
          </w:tcPr>
          <w:p w14:paraId="5E3B2170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laikom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</w:t>
            </w:r>
            <w:r w:rsidRPr="00705960">
              <w:rPr>
                <w:rFonts w:ascii="Times New Roman" w:hAnsi="Times New Roman" w:hint="eastAsia"/>
              </w:rPr>
              <w:t>ūš</w:t>
            </w:r>
            <w:r w:rsidRPr="00705960">
              <w:rPr>
                <w:rFonts w:ascii="Times New Roman" w:hAnsi="Times New Roman"/>
              </w:rPr>
              <w:t>ys?</w:t>
            </w:r>
          </w:p>
        </w:tc>
        <w:tc>
          <w:tcPr>
            <w:tcW w:w="1884" w:type="dxa"/>
          </w:tcPr>
          <w:p w14:paraId="1D7EBFC0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e) p.</w:t>
            </w:r>
          </w:p>
        </w:tc>
        <w:tc>
          <w:tcPr>
            <w:tcW w:w="951" w:type="dxa"/>
          </w:tcPr>
          <w:p w14:paraId="228ED81B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D0555DB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0BB886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256D9D95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03D805A8" w14:textId="77777777" w:rsidTr="001903F1">
        <w:trPr>
          <w:trHeight w:val="300"/>
        </w:trPr>
        <w:tc>
          <w:tcPr>
            <w:tcW w:w="709" w:type="dxa"/>
          </w:tcPr>
          <w:p w14:paraId="20CC0ED9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lastRenderedPageBreak/>
              <w:t>2.6.</w:t>
            </w:r>
          </w:p>
        </w:tc>
        <w:tc>
          <w:tcPr>
            <w:tcW w:w="2297" w:type="dxa"/>
          </w:tcPr>
          <w:p w14:paraId="4F62617D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apytikslis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, kurie gali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ti laikomi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ūkyje</w:t>
            </w:r>
            <w:r w:rsidRPr="00705960">
              <w:rPr>
                <w:rFonts w:ascii="Times New Roman" w:hAnsi="Times New Roman"/>
              </w:rPr>
              <w:t xml:space="preserve"> arba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ūkių</w:t>
            </w:r>
            <w:r w:rsidRPr="00705960">
              <w:rPr>
                <w:rFonts w:ascii="Times New Roman" w:hAnsi="Times New Roman"/>
              </w:rPr>
              <w:t xml:space="preserve"> grup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je, skaičius arba didžiausia biomas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ar abu?</w:t>
            </w:r>
          </w:p>
        </w:tc>
        <w:tc>
          <w:tcPr>
            <w:tcW w:w="1884" w:type="dxa"/>
          </w:tcPr>
          <w:p w14:paraId="0C42DD44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f) p.</w:t>
            </w:r>
          </w:p>
        </w:tc>
        <w:tc>
          <w:tcPr>
            <w:tcW w:w="951" w:type="dxa"/>
          </w:tcPr>
          <w:p w14:paraId="7C2F3FE8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BB3AF0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74F64A7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3BD56031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48545090" w14:textId="77777777" w:rsidTr="001903F1">
        <w:trPr>
          <w:trHeight w:val="300"/>
        </w:trPr>
        <w:tc>
          <w:tcPr>
            <w:tcW w:w="709" w:type="dxa"/>
          </w:tcPr>
          <w:p w14:paraId="115DA6F2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2.7.</w:t>
            </w:r>
          </w:p>
        </w:tc>
        <w:tc>
          <w:tcPr>
            <w:tcW w:w="2297" w:type="dxa"/>
          </w:tcPr>
          <w:p w14:paraId="50DA4C22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laikotarpis, kur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nai laikomi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kyje 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</w:t>
            </w:r>
            <w:r>
              <w:rPr>
                <w:rFonts w:ascii="Times New Roman" w:hAnsi="Times New Roman"/>
              </w:rPr>
              <w:t xml:space="preserve"> gyvūnų</w:t>
            </w:r>
            <w:r w:rsidRPr="00705960">
              <w:rPr>
                <w:rFonts w:ascii="Times New Roman" w:hAnsi="Times New Roman"/>
              </w:rPr>
              <w:t xml:space="preserve">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grup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je, jeigu jie 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ra laikomi nuolat,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skaitant sezonin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laikymą arba laikymą vykstant konkretiems renginiams?</w:t>
            </w:r>
          </w:p>
        </w:tc>
        <w:tc>
          <w:tcPr>
            <w:tcW w:w="1884" w:type="dxa"/>
          </w:tcPr>
          <w:p w14:paraId="61A7935C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g) p.</w:t>
            </w:r>
          </w:p>
        </w:tc>
        <w:tc>
          <w:tcPr>
            <w:tcW w:w="951" w:type="dxa"/>
          </w:tcPr>
          <w:p w14:paraId="74CD168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AE6E8C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77DE8B4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0454E7F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2DA0BD32" w14:textId="77777777" w:rsidTr="001903F1">
        <w:trPr>
          <w:trHeight w:val="300"/>
        </w:trPr>
        <w:tc>
          <w:tcPr>
            <w:tcW w:w="709" w:type="dxa"/>
          </w:tcPr>
          <w:p w14:paraId="65A38FFC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2.8.</w:t>
            </w:r>
          </w:p>
        </w:tc>
        <w:tc>
          <w:tcPr>
            <w:tcW w:w="2297" w:type="dxa"/>
          </w:tcPr>
          <w:p w14:paraId="4ED7910F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bet kokio veiklos nutraukimo data, jeigu veiklos vykdytojas apie tai praneš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</w:tcPr>
          <w:p w14:paraId="3EE4D679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6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1 dalis h) p.</w:t>
            </w:r>
          </w:p>
        </w:tc>
        <w:tc>
          <w:tcPr>
            <w:tcW w:w="951" w:type="dxa"/>
          </w:tcPr>
          <w:p w14:paraId="6C04BA9E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C78375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AF096E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7ADA8EA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5C5E3F01" w14:textId="77777777" w:rsidTr="001903F1">
        <w:trPr>
          <w:trHeight w:val="300"/>
        </w:trPr>
        <w:tc>
          <w:tcPr>
            <w:tcW w:w="709" w:type="dxa"/>
          </w:tcPr>
          <w:p w14:paraId="0A86F71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2.9.</w:t>
            </w:r>
          </w:p>
        </w:tc>
        <w:tc>
          <w:tcPr>
            <w:tcW w:w="2297" w:type="dxa"/>
          </w:tcPr>
          <w:p w14:paraId="76C2E61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informacija apie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ūkio</w:t>
            </w:r>
            <w:r w:rsidRPr="00705960">
              <w:rPr>
                <w:rFonts w:ascii="Times New Roman" w:hAnsi="Times New Roman"/>
              </w:rPr>
              <w:t xml:space="preserve"> sveikatos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klę?</w:t>
            </w:r>
          </w:p>
        </w:tc>
        <w:tc>
          <w:tcPr>
            <w:tcW w:w="1884" w:type="dxa"/>
          </w:tcPr>
          <w:p w14:paraId="2E027A18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21 str. 2 dalis </w:t>
            </w:r>
          </w:p>
        </w:tc>
        <w:tc>
          <w:tcPr>
            <w:tcW w:w="951" w:type="dxa"/>
          </w:tcPr>
          <w:p w14:paraId="3012ADE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57A75AAD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4A4E892C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9" w:type="dxa"/>
          </w:tcPr>
          <w:p w14:paraId="41F12D28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75836" w:rsidRPr="00C87EFE" w14:paraId="11D1BC67" w14:textId="77777777" w:rsidTr="001903F1">
        <w:trPr>
          <w:trHeight w:val="300"/>
        </w:trPr>
        <w:tc>
          <w:tcPr>
            <w:tcW w:w="709" w:type="dxa"/>
          </w:tcPr>
          <w:p w14:paraId="26A403A6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3.</w:t>
            </w:r>
          </w:p>
        </w:tc>
        <w:tc>
          <w:tcPr>
            <w:tcW w:w="2297" w:type="dxa"/>
          </w:tcPr>
          <w:p w14:paraId="7D2CBB90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gyvūnai</w:t>
            </w:r>
            <w:r w:rsidRPr="00705960">
              <w:rPr>
                <w:rFonts w:ascii="Times New Roman" w:hAnsi="Times New Roman"/>
              </w:rPr>
              <w:t xml:space="preserve"> veža</w:t>
            </w:r>
            <w:r>
              <w:rPr>
                <w:rFonts w:ascii="Times New Roman" w:hAnsi="Times New Roman"/>
              </w:rPr>
              <w:t>mi</w:t>
            </w:r>
            <w:r w:rsidRPr="00705960">
              <w:rPr>
                <w:rFonts w:ascii="Times New Roman" w:hAnsi="Times New Roman"/>
              </w:rPr>
              <w:t xml:space="preserve"> arba perduoda</w:t>
            </w:r>
            <w:r>
              <w:rPr>
                <w:rFonts w:ascii="Times New Roman" w:hAnsi="Times New Roman"/>
              </w:rPr>
              <w:t>mi</w:t>
            </w:r>
            <w:r w:rsidRPr="00705960">
              <w:rPr>
                <w:rFonts w:ascii="Times New Roman" w:hAnsi="Times New Roman"/>
              </w:rPr>
              <w:t xml:space="preserve"> tinkamomis 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gerovę užtikrinančiomis sąlygomis ir transporto priemon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mis?</w:t>
            </w:r>
          </w:p>
        </w:tc>
        <w:tc>
          <w:tcPr>
            <w:tcW w:w="1884" w:type="dxa"/>
          </w:tcPr>
          <w:p w14:paraId="38246F5C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val="sq-AL" w:eastAsia="lt-LT"/>
              </w:rPr>
            </w:pPr>
            <w:hyperlink r:id="rId1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[3]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  <w:spacing w:val="-2"/>
                <w:szCs w:val="24"/>
                <w:lang w:val="sq-AL" w:eastAsia="lt-LT"/>
              </w:rPr>
              <w:t>3 straipsnis</w:t>
            </w:r>
          </w:p>
          <w:p w14:paraId="68D0F390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</w:tcPr>
          <w:p w14:paraId="331CBEAB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0CB7A6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9241B9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0944071E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3033F8FB" w14:textId="77777777" w:rsidTr="001903F1">
        <w:trPr>
          <w:trHeight w:val="300"/>
        </w:trPr>
        <w:tc>
          <w:tcPr>
            <w:tcW w:w="709" w:type="dxa"/>
          </w:tcPr>
          <w:p w14:paraId="36357F3B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4.</w:t>
            </w:r>
          </w:p>
        </w:tc>
        <w:tc>
          <w:tcPr>
            <w:tcW w:w="2297" w:type="dxa"/>
          </w:tcPr>
          <w:p w14:paraId="3D5EBCAC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</w:rPr>
              <w:t>Ar išvežant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nus Lietuvos Respublikoje esančiam gav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jui išduodamas patvirtintos formos važtaraštis arba, kai gav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jas mažmenin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prekybos subjektas, 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laikytojo išduotas </w:t>
            </w:r>
            <w:r w:rsidRPr="00705960">
              <w:rPr>
                <w:rFonts w:ascii="Times New Roman" w:hAnsi="Times New Roman"/>
              </w:rPr>
              <w:lastRenderedPageBreak/>
              <w:t>dokumentas?</w:t>
            </w:r>
          </w:p>
        </w:tc>
        <w:tc>
          <w:tcPr>
            <w:tcW w:w="1884" w:type="dxa"/>
          </w:tcPr>
          <w:p w14:paraId="7678DBD6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[4]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2.1. punktas</w:t>
            </w:r>
          </w:p>
          <w:p w14:paraId="15969A47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</w:tcPr>
          <w:p w14:paraId="4DA9613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604845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26566210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5AFCD2E8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7E48F1B5" w14:textId="77777777" w:rsidTr="001903F1">
        <w:trPr>
          <w:trHeight w:val="2700"/>
        </w:trPr>
        <w:tc>
          <w:tcPr>
            <w:tcW w:w="709" w:type="dxa"/>
          </w:tcPr>
          <w:p w14:paraId="54E381D6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5.</w:t>
            </w:r>
          </w:p>
        </w:tc>
        <w:tc>
          <w:tcPr>
            <w:tcW w:w="2297" w:type="dxa"/>
          </w:tcPr>
          <w:p w14:paraId="36F8C19D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</w:rPr>
              <w:t xml:space="preserve">Ar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ES šalis nares išvežamas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siuntas  lydi veterinarijos sertifikatas arba, išvežant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nus iš laikymo vietos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ES </w:t>
            </w:r>
            <w:r w:rsidRPr="00705960">
              <w:rPr>
                <w:rFonts w:ascii="Times New Roman" w:hAnsi="Times New Roman" w:hint="eastAsia"/>
              </w:rPr>
              <w:t>š</w:t>
            </w:r>
            <w:r w:rsidRPr="00705960">
              <w:rPr>
                <w:rFonts w:ascii="Times New Roman" w:hAnsi="Times New Roman"/>
              </w:rPr>
              <w:t>ali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nari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mažmenin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prekybos subjektus, siunt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jo išduotas dokumentas su teis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akt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reikalaujama informacija?</w:t>
            </w:r>
          </w:p>
        </w:tc>
        <w:tc>
          <w:tcPr>
            <w:tcW w:w="1884" w:type="dxa"/>
          </w:tcPr>
          <w:p w14:paraId="002879D5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val="sq-AL" w:eastAsia="lt-LT"/>
              </w:rPr>
            </w:pPr>
            <w:hyperlink r:id="rId2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[3]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  <w:spacing w:val="-2"/>
                <w:szCs w:val="24"/>
                <w:lang w:val="sq-AL" w:eastAsia="lt-LT"/>
              </w:rPr>
              <w:t>4 straipsnis</w:t>
            </w:r>
          </w:p>
          <w:p w14:paraId="2BD69308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</w:tcPr>
          <w:p w14:paraId="61D36BA7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6D5D46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442ABD1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1CC64B71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3C7986C7" w14:textId="77777777" w:rsidTr="001903F1">
        <w:trPr>
          <w:trHeight w:val="300"/>
        </w:trPr>
        <w:tc>
          <w:tcPr>
            <w:tcW w:w="10910" w:type="dxa"/>
            <w:gridSpan w:val="7"/>
          </w:tcPr>
          <w:p w14:paraId="4F6DADC8" w14:textId="77777777" w:rsidR="00F75836" w:rsidRDefault="00F75836" w:rsidP="00F75836">
            <w:pPr>
              <w:pStyle w:val="ListParagraph"/>
              <w:widowControl/>
              <w:numPr>
                <w:ilvl w:val="0"/>
                <w:numId w:val="1"/>
              </w:numPr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akvakultūros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gyvūnų ūkio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saugomiems duomenims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DB0A367" w14:textId="77777777" w:rsidR="00F75836" w:rsidRDefault="00F75836" w:rsidP="001903F1">
            <w:pPr>
              <w:pStyle w:val="ListParagraph"/>
              <w:widowControl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75836" w:rsidRPr="00C87EFE" w14:paraId="5E158E87" w14:textId="77777777" w:rsidTr="001903F1">
        <w:trPr>
          <w:trHeight w:val="300"/>
        </w:trPr>
        <w:tc>
          <w:tcPr>
            <w:tcW w:w="10910" w:type="dxa"/>
            <w:gridSpan w:val="7"/>
          </w:tcPr>
          <w:p w14:paraId="1D344A66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 xml:space="preserve">6. Ar </w:t>
            </w:r>
            <w:r w:rsidRPr="43FA9538">
              <w:rPr>
                <w:rFonts w:ascii="Times New Roman" w:hAnsi="Times New Roman"/>
              </w:rPr>
              <w:t xml:space="preserve">akvakultūros </w:t>
            </w:r>
            <w:r>
              <w:rPr>
                <w:rFonts w:ascii="Times New Roman" w:hAnsi="Times New Roman"/>
              </w:rPr>
              <w:t xml:space="preserve"> gyvūnų ūkis</w:t>
            </w:r>
            <w:r w:rsidRPr="43FA9538">
              <w:rPr>
                <w:rFonts w:ascii="Times New Roman" w:hAnsi="Times New Roman"/>
              </w:rPr>
              <w:t xml:space="preserve"> registruoja ir saugo:</w:t>
            </w:r>
          </w:p>
          <w:p w14:paraId="7A16F72E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</w:rPr>
            </w:pPr>
          </w:p>
        </w:tc>
      </w:tr>
      <w:tr w:rsidR="00F75836" w:rsidRPr="00C87EFE" w14:paraId="0E97B83B" w14:textId="77777777" w:rsidTr="001903F1">
        <w:trPr>
          <w:trHeight w:val="300"/>
        </w:trPr>
        <w:tc>
          <w:tcPr>
            <w:tcW w:w="709" w:type="dxa"/>
          </w:tcPr>
          <w:p w14:paraId="7C09C3C1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.1.</w:t>
            </w:r>
          </w:p>
        </w:tc>
        <w:tc>
          <w:tcPr>
            <w:tcW w:w="2297" w:type="dxa"/>
          </w:tcPr>
          <w:p w14:paraId="1DA7C6D7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>- informaciją apie laikomų akvakultūros gyvūnų kategorijas, rūšis ir kiekius (skaičių, tūrį arba svorį)?</w:t>
            </w:r>
          </w:p>
        </w:tc>
        <w:tc>
          <w:tcPr>
            <w:tcW w:w="1884" w:type="dxa"/>
          </w:tcPr>
          <w:p w14:paraId="4883E62B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21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 a) p.</w:t>
            </w:r>
          </w:p>
        </w:tc>
        <w:tc>
          <w:tcPr>
            <w:tcW w:w="951" w:type="dxa"/>
          </w:tcPr>
          <w:p w14:paraId="0721E514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3A5DE17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3EA0859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2F313A56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75836" w14:paraId="283CFBAB" w14:textId="77777777" w:rsidTr="001903F1">
        <w:trPr>
          <w:trHeight w:val="300"/>
        </w:trPr>
        <w:tc>
          <w:tcPr>
            <w:tcW w:w="709" w:type="dxa"/>
          </w:tcPr>
          <w:p w14:paraId="6D8371BE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.2.</w:t>
            </w:r>
          </w:p>
        </w:tc>
        <w:tc>
          <w:tcPr>
            <w:tcW w:w="2297" w:type="dxa"/>
          </w:tcPr>
          <w:p w14:paraId="66AF7CB5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 xml:space="preserve">- duomenis apie akvakultūros gyvūnų perkėlimą į jų </w:t>
            </w:r>
            <w:r>
              <w:rPr>
                <w:rFonts w:ascii="Times New Roman" w:hAnsi="Times New Roman"/>
              </w:rPr>
              <w:t>ūkį</w:t>
            </w:r>
            <w:r w:rsidRPr="43FA9538">
              <w:rPr>
                <w:rFonts w:ascii="Times New Roman" w:hAnsi="Times New Roman"/>
              </w:rPr>
              <w:t xml:space="preserve"> ir iš jo, atitinkamai nurodant jų kilmės adresą, kilmės / paskirties akvakultūros </w:t>
            </w:r>
            <w:r>
              <w:rPr>
                <w:rFonts w:ascii="Times New Roman" w:hAnsi="Times New Roman"/>
              </w:rPr>
              <w:t xml:space="preserve"> gyvūnų ūkio</w:t>
            </w:r>
            <w:r w:rsidRPr="43FA9538">
              <w:rPr>
                <w:rFonts w:ascii="Times New Roman" w:hAnsi="Times New Roman"/>
              </w:rPr>
              <w:t xml:space="preserve"> veterinarinio patvirtinimo numerį ir tokio perkėlimo ir vežimo datas?</w:t>
            </w:r>
          </w:p>
        </w:tc>
        <w:tc>
          <w:tcPr>
            <w:tcW w:w="1884" w:type="dxa"/>
          </w:tcPr>
          <w:p w14:paraId="7550212A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22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 b) p.</w:t>
            </w:r>
          </w:p>
        </w:tc>
        <w:tc>
          <w:tcPr>
            <w:tcW w:w="951" w:type="dxa"/>
          </w:tcPr>
          <w:p w14:paraId="1E153A4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2F6A6122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1F1D21EE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3BAB735D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išskyrus atvejus kai vandens gyvūnai pristatomi į namų ūkius, kai tikrinamas akvakultūros </w:t>
            </w:r>
            <w:r>
              <w:rPr>
                <w:rFonts w:ascii="Times New Roman" w:hAnsi="Times New Roman"/>
              </w:rPr>
              <w:t xml:space="preserve">gyvūnų </w:t>
            </w:r>
            <w:r w:rsidRPr="43FA9538">
              <w:rPr>
                <w:rFonts w:ascii="Times New Roman" w:hAnsi="Times New Roman"/>
              </w:rPr>
              <w:t>ūkis, kuriame akvakultūros gyvūnai laikomi dekoratyviniais tikslai ir kuris kelia didelę užkrečiamųjų ligų riziką</w:t>
            </w:r>
          </w:p>
          <w:p w14:paraId="3B7590B3" w14:textId="77777777" w:rsidR="00F75836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75836" w14:paraId="53AD930F" w14:textId="77777777" w:rsidTr="001903F1">
        <w:trPr>
          <w:trHeight w:val="300"/>
        </w:trPr>
        <w:tc>
          <w:tcPr>
            <w:tcW w:w="709" w:type="dxa"/>
          </w:tcPr>
          <w:p w14:paraId="468FA464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.3.</w:t>
            </w:r>
          </w:p>
        </w:tc>
        <w:tc>
          <w:tcPr>
            <w:tcW w:w="2297" w:type="dxa"/>
          </w:tcPr>
          <w:p w14:paraId="0FA25EE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- apie perkeliamų į </w:t>
            </w:r>
            <w:r>
              <w:rPr>
                <w:rFonts w:ascii="Times New Roman" w:hAnsi="Times New Roman"/>
              </w:rPr>
              <w:t>ūkį</w:t>
            </w:r>
            <w:r w:rsidRPr="43FA9538">
              <w:rPr>
                <w:rFonts w:ascii="Times New Roman" w:hAnsi="Times New Roman"/>
              </w:rPr>
              <w:t xml:space="preserve"> akvakultūros gyvūnų sveikatos sertifikatus popierine arba elektronine forma?</w:t>
            </w:r>
          </w:p>
        </w:tc>
        <w:tc>
          <w:tcPr>
            <w:tcW w:w="1884" w:type="dxa"/>
          </w:tcPr>
          <w:p w14:paraId="632098B1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23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 c) p.</w:t>
            </w:r>
          </w:p>
        </w:tc>
        <w:tc>
          <w:tcPr>
            <w:tcW w:w="951" w:type="dxa"/>
          </w:tcPr>
          <w:p w14:paraId="748E9C08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1E04E807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3D46179B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45045E97" w14:textId="77777777" w:rsidR="00F75836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75836" w14:paraId="32321D11" w14:textId="77777777" w:rsidTr="001903F1">
        <w:trPr>
          <w:trHeight w:val="300"/>
        </w:trPr>
        <w:tc>
          <w:tcPr>
            <w:tcW w:w="709" w:type="dxa"/>
          </w:tcPr>
          <w:p w14:paraId="44EF75E0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.4.</w:t>
            </w:r>
          </w:p>
        </w:tc>
        <w:tc>
          <w:tcPr>
            <w:tcW w:w="2297" w:type="dxa"/>
          </w:tcPr>
          <w:p w14:paraId="3189DA88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- apie vežėjų, pristatančių vandens gyvūnus į </w:t>
            </w:r>
            <w:r>
              <w:rPr>
                <w:rFonts w:ascii="Times New Roman" w:hAnsi="Times New Roman"/>
              </w:rPr>
              <w:t>ūkį</w:t>
            </w:r>
            <w:r w:rsidRPr="43FA9538">
              <w:rPr>
                <w:rFonts w:ascii="Times New Roman" w:hAnsi="Times New Roman"/>
              </w:rPr>
              <w:t xml:space="preserve"> arba paimančių </w:t>
            </w:r>
            <w:r w:rsidRPr="43FA9538">
              <w:rPr>
                <w:rFonts w:ascii="Times New Roman" w:hAnsi="Times New Roman"/>
              </w:rPr>
              <w:lastRenderedPageBreak/>
              <w:t xml:space="preserve">akvakultūros gyvūnus iš </w:t>
            </w:r>
            <w:r>
              <w:rPr>
                <w:rFonts w:ascii="Times New Roman" w:hAnsi="Times New Roman"/>
              </w:rPr>
              <w:t>ūkio</w:t>
            </w:r>
            <w:r w:rsidRPr="43FA9538">
              <w:rPr>
                <w:rFonts w:ascii="Times New Roman" w:hAnsi="Times New Roman"/>
              </w:rPr>
              <w:t>, pavadinimą ir adresą?</w:t>
            </w:r>
          </w:p>
        </w:tc>
        <w:tc>
          <w:tcPr>
            <w:tcW w:w="1884" w:type="dxa"/>
          </w:tcPr>
          <w:p w14:paraId="10916A2D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24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23 str. f) p.</w:t>
            </w:r>
          </w:p>
        </w:tc>
        <w:tc>
          <w:tcPr>
            <w:tcW w:w="951" w:type="dxa"/>
          </w:tcPr>
          <w:p w14:paraId="35A300D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4964E0D2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3E11BD85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49A05A01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 išskyrus atvejus kai vandens gyvūnai pristatomi į namų ūkius, kai tikrinamas </w:t>
            </w:r>
            <w:r w:rsidRPr="43FA9538">
              <w:rPr>
                <w:rFonts w:ascii="Times New Roman" w:hAnsi="Times New Roman"/>
              </w:rPr>
              <w:lastRenderedPageBreak/>
              <w:t>akvakultūros ūkis, kuriame akvakultūros gyvūnai laikomi dekoratyviniais tikslai ir kuris kelia didelę užkrečiamųjų ligų riziką</w:t>
            </w:r>
          </w:p>
          <w:p w14:paraId="27A9A52B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</w:p>
        </w:tc>
      </w:tr>
      <w:tr w:rsidR="00F75836" w14:paraId="51A03D58" w14:textId="77777777" w:rsidTr="001903F1">
        <w:trPr>
          <w:trHeight w:val="300"/>
        </w:trPr>
        <w:tc>
          <w:tcPr>
            <w:tcW w:w="709" w:type="dxa"/>
          </w:tcPr>
          <w:p w14:paraId="4791E2BA" w14:textId="77777777" w:rsidR="00F75836" w:rsidRDefault="00F75836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6</w:t>
            </w:r>
            <w:r w:rsidRPr="43FA9538">
              <w:rPr>
                <w:rFonts w:ascii="Times New Roman" w:hAnsi="Times New Roman"/>
                <w:lang w:eastAsia="lt-LT"/>
              </w:rPr>
              <w:t>.5.</w:t>
            </w:r>
          </w:p>
        </w:tc>
        <w:tc>
          <w:tcPr>
            <w:tcW w:w="2297" w:type="dxa"/>
          </w:tcPr>
          <w:p w14:paraId="42B3D356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 gyvūnų ūkis </w:t>
            </w:r>
            <w:r w:rsidRPr="43FA9538">
              <w:rPr>
                <w:rFonts w:ascii="Times New Roman" w:hAnsi="Times New Roman"/>
              </w:rPr>
              <w:t>saugo duomenis ne trumpiau, kaip 3 metus?</w:t>
            </w:r>
          </w:p>
        </w:tc>
        <w:tc>
          <w:tcPr>
            <w:tcW w:w="1884" w:type="dxa"/>
          </w:tcPr>
          <w:p w14:paraId="07BF54F3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25" w:history="1">
              <w:r w:rsidRPr="43FA9538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43FA9538">
              <w:rPr>
                <w:rFonts w:ascii="Times New Roman" w:hAnsi="Times New Roman"/>
              </w:rPr>
              <w:t xml:space="preserve"> 186 str. 3 dalis c) p.</w:t>
            </w:r>
          </w:p>
        </w:tc>
        <w:tc>
          <w:tcPr>
            <w:tcW w:w="951" w:type="dxa"/>
          </w:tcPr>
          <w:p w14:paraId="522AA56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4919147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62324F0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3F0F864E" w14:textId="77777777" w:rsidR="00F75836" w:rsidRDefault="00F75836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</w:p>
        </w:tc>
      </w:tr>
      <w:tr w:rsidR="00F75836" w14:paraId="66DA1A78" w14:textId="77777777" w:rsidTr="001903F1">
        <w:trPr>
          <w:trHeight w:val="300"/>
        </w:trPr>
        <w:tc>
          <w:tcPr>
            <w:tcW w:w="10910" w:type="dxa"/>
            <w:gridSpan w:val="7"/>
          </w:tcPr>
          <w:p w14:paraId="0B5E3F19" w14:textId="77777777" w:rsidR="00F75836" w:rsidRDefault="00F75836" w:rsidP="00F75836">
            <w:pPr>
              <w:pStyle w:val="ListParagraph"/>
              <w:widowControl/>
              <w:numPr>
                <w:ilvl w:val="0"/>
                <w:numId w:val="1"/>
              </w:numPr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Reikalavimai vandens gyvūnų vežėjų saugomiems duomenims (jeigu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ūkis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turi transporto priemonę akvakultūros gyvūnams vežti)</w:t>
            </w:r>
          </w:p>
          <w:p w14:paraId="39A76BAA" w14:textId="77777777" w:rsidR="00F75836" w:rsidRDefault="00F75836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</w:p>
        </w:tc>
      </w:tr>
      <w:tr w:rsidR="00F75836" w14:paraId="0A15DF4D" w14:textId="77777777" w:rsidTr="001903F1">
        <w:trPr>
          <w:trHeight w:val="300"/>
        </w:trPr>
        <w:tc>
          <w:tcPr>
            <w:tcW w:w="10910" w:type="dxa"/>
            <w:gridSpan w:val="7"/>
          </w:tcPr>
          <w:p w14:paraId="583652E5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 Ar vandens gyvūnų vežėjas registruoja ir saugo:</w:t>
            </w:r>
          </w:p>
          <w:p w14:paraId="37170B36" w14:textId="77777777" w:rsidR="00F75836" w:rsidRDefault="00F75836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</w:p>
        </w:tc>
      </w:tr>
      <w:tr w:rsidR="00F75836" w14:paraId="4B60760B" w14:textId="77777777" w:rsidTr="001903F1">
        <w:trPr>
          <w:trHeight w:val="300"/>
        </w:trPr>
        <w:tc>
          <w:tcPr>
            <w:tcW w:w="709" w:type="dxa"/>
          </w:tcPr>
          <w:p w14:paraId="042447CC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7.1.</w:t>
            </w:r>
          </w:p>
        </w:tc>
        <w:tc>
          <w:tcPr>
            <w:tcW w:w="2297" w:type="dxa"/>
          </w:tcPr>
          <w:p w14:paraId="7EE300C6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43FA9538">
              <w:rPr>
                <w:rFonts w:ascii="Times New Roman" w:hAnsi="Times New Roman"/>
              </w:rPr>
              <w:t>vežamų vandens gyvūnų kategorijas, rūšis ir kiekius?</w:t>
            </w:r>
          </w:p>
        </w:tc>
        <w:tc>
          <w:tcPr>
            <w:tcW w:w="1884" w:type="dxa"/>
          </w:tcPr>
          <w:p w14:paraId="65A19773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26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188 str. 1 dalis a) p.</w:t>
            </w:r>
          </w:p>
        </w:tc>
        <w:tc>
          <w:tcPr>
            <w:tcW w:w="951" w:type="dxa"/>
          </w:tcPr>
          <w:p w14:paraId="033C09C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3150839E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78D61A31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59" w:type="dxa"/>
          </w:tcPr>
          <w:p w14:paraId="48B7B9D2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</w:rPr>
              <w:t>skaičių, tūrį arba svorį</w:t>
            </w:r>
          </w:p>
        </w:tc>
      </w:tr>
      <w:tr w:rsidR="00F75836" w:rsidRPr="00C87EFE" w14:paraId="0E7FEE47" w14:textId="77777777" w:rsidTr="001903F1">
        <w:trPr>
          <w:trHeight w:val="300"/>
        </w:trPr>
        <w:tc>
          <w:tcPr>
            <w:tcW w:w="709" w:type="dxa"/>
          </w:tcPr>
          <w:p w14:paraId="4E9D6C25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7.2.</w:t>
            </w:r>
          </w:p>
        </w:tc>
        <w:tc>
          <w:tcPr>
            <w:tcW w:w="2297" w:type="dxa"/>
          </w:tcPr>
          <w:p w14:paraId="084AB3B7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5960">
              <w:rPr>
                <w:rFonts w:ascii="Times New Roman" w:hAnsi="Times New Roman"/>
              </w:rPr>
              <w:t>vežam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arba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gaištamumą?</w:t>
            </w:r>
          </w:p>
        </w:tc>
        <w:tc>
          <w:tcPr>
            <w:tcW w:w="1884" w:type="dxa"/>
          </w:tcPr>
          <w:p w14:paraId="34DD3904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188 str. 1 dalis b) p.</w:t>
            </w:r>
          </w:p>
        </w:tc>
        <w:tc>
          <w:tcPr>
            <w:tcW w:w="951" w:type="dxa"/>
          </w:tcPr>
          <w:p w14:paraId="25E1178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74FB3E3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7B4E740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52186FA5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740AF860" w14:textId="77777777" w:rsidTr="001903F1">
        <w:trPr>
          <w:trHeight w:val="300"/>
        </w:trPr>
        <w:tc>
          <w:tcPr>
            <w:tcW w:w="709" w:type="dxa"/>
          </w:tcPr>
          <w:p w14:paraId="5CE4CB65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7.3.</w:t>
            </w:r>
          </w:p>
        </w:tc>
        <w:tc>
          <w:tcPr>
            <w:tcW w:w="2297" w:type="dxa"/>
          </w:tcPr>
          <w:p w14:paraId="505BC4F9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pakrovimo ir iškrovimo datas ir laiką?</w:t>
            </w:r>
          </w:p>
        </w:tc>
        <w:tc>
          <w:tcPr>
            <w:tcW w:w="1884" w:type="dxa"/>
          </w:tcPr>
          <w:p w14:paraId="6BA051C8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35 str. b), e) p.</w:t>
            </w:r>
          </w:p>
        </w:tc>
        <w:tc>
          <w:tcPr>
            <w:tcW w:w="951" w:type="dxa"/>
          </w:tcPr>
          <w:p w14:paraId="006E50E2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3219EE2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BD90118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2F0BD584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0189C85A" w14:textId="77777777" w:rsidTr="001903F1">
        <w:trPr>
          <w:trHeight w:val="300"/>
        </w:trPr>
        <w:tc>
          <w:tcPr>
            <w:tcW w:w="709" w:type="dxa"/>
          </w:tcPr>
          <w:p w14:paraId="63E76964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E89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kiekvieno aplankyto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 gyvūnų ūkio</w:t>
            </w:r>
            <w:r w:rsidRPr="00705960">
              <w:rPr>
                <w:rFonts w:ascii="Times New Roman" w:hAnsi="Times New Roman"/>
              </w:rPr>
              <w:t xml:space="preserve"> pavadinimą, adresą ir unikal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registracijos arba patvirtinimo numer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</w:tcPr>
          <w:p w14:paraId="3B773540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35 str. c) p.</w:t>
            </w:r>
          </w:p>
        </w:tc>
        <w:tc>
          <w:tcPr>
            <w:tcW w:w="951" w:type="dxa"/>
          </w:tcPr>
          <w:p w14:paraId="6742BD07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65A9B26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CFEBFF8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34176BA8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75836" w:rsidRPr="00C87EFE" w14:paraId="1C33AB5B" w14:textId="77777777" w:rsidTr="001903F1">
        <w:trPr>
          <w:trHeight w:val="300"/>
        </w:trPr>
        <w:tc>
          <w:tcPr>
            <w:tcW w:w="709" w:type="dxa"/>
          </w:tcPr>
          <w:p w14:paraId="1DD7E0A4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30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vežimo metu atlikto  vandens keitimo datas, laiką ir vietas, nurodant naujo vandens </w:t>
            </w:r>
            <w:r w:rsidRPr="00705960">
              <w:rPr>
                <w:rFonts w:ascii="Times New Roman" w:hAnsi="Times New Roman" w:hint="eastAsia"/>
              </w:rPr>
              <w:t>š</w:t>
            </w:r>
            <w:r w:rsidRPr="00705960">
              <w:rPr>
                <w:rFonts w:ascii="Times New Roman" w:hAnsi="Times New Roman"/>
              </w:rPr>
              <w:t>altinius ir vandens išleidimo vietą?</w:t>
            </w:r>
          </w:p>
        </w:tc>
        <w:tc>
          <w:tcPr>
            <w:tcW w:w="1884" w:type="dxa"/>
          </w:tcPr>
          <w:p w14:paraId="70CE8C91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3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188 str. 1 dalis d) p.; </w:t>
            </w:r>
            <w:hyperlink r:id="rId3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35 str. f) p. </w:t>
            </w:r>
          </w:p>
        </w:tc>
        <w:tc>
          <w:tcPr>
            <w:tcW w:w="951" w:type="dxa"/>
          </w:tcPr>
          <w:p w14:paraId="3EF3778F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1D3E7D8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1631A1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51ED6B21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5C9505C6" w14:textId="77777777" w:rsidTr="001903F1">
        <w:trPr>
          <w:trHeight w:val="300"/>
        </w:trPr>
        <w:tc>
          <w:tcPr>
            <w:tcW w:w="709" w:type="dxa"/>
          </w:tcPr>
          <w:p w14:paraId="05418340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2C6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duomenis apie  transporto priemoni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valymą ir dezinfekavimą?</w:t>
            </w:r>
          </w:p>
        </w:tc>
        <w:tc>
          <w:tcPr>
            <w:tcW w:w="1884" w:type="dxa"/>
          </w:tcPr>
          <w:p w14:paraId="7C8CAC6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3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188 str. 1 dalis e) p.</w:t>
            </w:r>
          </w:p>
        </w:tc>
        <w:tc>
          <w:tcPr>
            <w:tcW w:w="951" w:type="dxa"/>
          </w:tcPr>
          <w:p w14:paraId="3BBFE462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BA95725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A811496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04FF98C9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745E7154" w14:textId="77777777" w:rsidTr="001903F1">
        <w:trPr>
          <w:trHeight w:val="300"/>
        </w:trPr>
        <w:tc>
          <w:tcPr>
            <w:tcW w:w="709" w:type="dxa"/>
          </w:tcPr>
          <w:p w14:paraId="5C0B63F4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43FA9538">
              <w:rPr>
                <w:rFonts w:ascii="Times New Roman" w:hAnsi="Times New Roman"/>
                <w:lang w:eastAsia="lt-LT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E7A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 xml:space="preserve"> transporto priemon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s biologinio saugumo planą ir jo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gyvendinimo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rodymus?</w:t>
            </w:r>
          </w:p>
        </w:tc>
        <w:tc>
          <w:tcPr>
            <w:tcW w:w="1884" w:type="dxa"/>
          </w:tcPr>
          <w:p w14:paraId="602EEB4E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3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35 str. g) p.</w:t>
            </w:r>
          </w:p>
        </w:tc>
        <w:tc>
          <w:tcPr>
            <w:tcW w:w="951" w:type="dxa"/>
          </w:tcPr>
          <w:p w14:paraId="0305F924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1733797A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2CC7F4EC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0E0BC3A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F75836" w:rsidRPr="00C87EFE" w14:paraId="341E881C" w14:textId="77777777" w:rsidTr="001903F1">
        <w:trPr>
          <w:trHeight w:val="300"/>
        </w:trPr>
        <w:tc>
          <w:tcPr>
            <w:tcW w:w="709" w:type="dxa"/>
          </w:tcPr>
          <w:p w14:paraId="662E872B" w14:textId="77777777" w:rsidR="00F75836" w:rsidRPr="00705960" w:rsidRDefault="00F7583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lastRenderedPageBreak/>
              <w:t>7.8.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CF1" w14:textId="77777777" w:rsidR="00F75836" w:rsidRPr="00705960" w:rsidRDefault="00F75836" w:rsidP="001903F1">
            <w:pPr>
              <w:spacing w:line="240" w:lineRule="auto"/>
              <w:rPr>
                <w:rFonts w:ascii="Times New Roman" w:eastAsia="Calibri" w:hAnsi="Times New Roman"/>
                <w:noProof/>
                <w:spacing w:val="-2"/>
                <w:szCs w:val="24"/>
                <w:lang w:eastAsia="lt-LT"/>
              </w:rPr>
            </w:pPr>
            <w:r>
              <w:rPr>
                <w:rFonts w:ascii="Times New Roman" w:eastAsia="Calibri" w:hAnsi="Times New Roman"/>
                <w:noProof/>
                <w:spacing w:val="-2"/>
                <w:szCs w:val="24"/>
                <w:lang w:eastAsia="lt-LT"/>
              </w:rPr>
              <w:t>-</w:t>
            </w:r>
            <w:r w:rsidRPr="00705960">
              <w:rPr>
                <w:rFonts w:ascii="Times New Roman" w:eastAsia="Calibri" w:hAnsi="Times New Roman"/>
                <w:noProof/>
                <w:spacing w:val="-2"/>
                <w:szCs w:val="24"/>
                <w:lang w:eastAsia="lt-LT"/>
              </w:rPr>
              <w:t xml:space="preserve"> dokument</w:t>
            </w:r>
            <w:r w:rsidRPr="00705960">
              <w:rPr>
                <w:rFonts w:ascii="Times New Roman" w:eastAsia="Calibri" w:hAnsi="Times New Roman" w:hint="eastAsia"/>
                <w:noProof/>
                <w:spacing w:val="-2"/>
                <w:szCs w:val="24"/>
                <w:lang w:eastAsia="lt-LT"/>
              </w:rPr>
              <w:t>ų</w:t>
            </w:r>
            <w:r w:rsidRPr="00705960">
              <w:rPr>
                <w:rFonts w:ascii="Times New Roman" w:eastAsia="Calibri" w:hAnsi="Times New Roman"/>
                <w:noProof/>
                <w:spacing w:val="-2"/>
                <w:szCs w:val="24"/>
                <w:lang w:eastAsia="lt-LT"/>
              </w:rPr>
              <w:t>, su kuriais siunčiami vandens gyv</w:t>
            </w:r>
            <w:r w:rsidRPr="00705960">
              <w:rPr>
                <w:rFonts w:ascii="Times New Roman" w:eastAsia="Calibri" w:hAnsi="Times New Roman" w:hint="eastAsia"/>
                <w:noProof/>
                <w:spacing w:val="-2"/>
                <w:szCs w:val="24"/>
                <w:lang w:eastAsia="lt-LT"/>
              </w:rPr>
              <w:t>ū</w:t>
            </w:r>
            <w:r w:rsidRPr="00705960">
              <w:rPr>
                <w:rFonts w:ascii="Times New Roman" w:eastAsia="Calibri" w:hAnsi="Times New Roman"/>
                <w:noProof/>
                <w:spacing w:val="-2"/>
                <w:szCs w:val="24"/>
                <w:lang w:eastAsia="lt-LT"/>
              </w:rPr>
              <w:t>nai, registracijos numerius?</w:t>
            </w:r>
          </w:p>
        </w:tc>
        <w:tc>
          <w:tcPr>
            <w:tcW w:w="1884" w:type="dxa"/>
          </w:tcPr>
          <w:p w14:paraId="1ED417BE" w14:textId="77777777" w:rsidR="00F75836" w:rsidRPr="00705960" w:rsidRDefault="00F7583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3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35 str. h) p.</w:t>
            </w:r>
          </w:p>
        </w:tc>
        <w:tc>
          <w:tcPr>
            <w:tcW w:w="951" w:type="dxa"/>
          </w:tcPr>
          <w:p w14:paraId="499FA4B9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C7F18B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2E4C1BD" w14:textId="77777777" w:rsidR="00F75836" w:rsidRPr="00705960" w:rsidRDefault="00F7583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659" w:type="dxa"/>
          </w:tcPr>
          <w:p w14:paraId="1CE9102E" w14:textId="77777777" w:rsidR="00F75836" w:rsidRPr="00705960" w:rsidRDefault="00F75836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</w:tbl>
    <w:p w14:paraId="12586B06" w14:textId="77777777" w:rsidR="00F75836" w:rsidRPr="00705960" w:rsidRDefault="00F75836" w:rsidP="00F75836">
      <w:pPr>
        <w:spacing w:line="240" w:lineRule="auto"/>
        <w:rPr>
          <w:rFonts w:ascii="Times New Roman" w:hAnsi="Times New Roman"/>
          <w:color w:val="000000"/>
          <w:szCs w:val="24"/>
          <w:lang w:eastAsia="lt-LT"/>
        </w:rPr>
      </w:pPr>
    </w:p>
    <w:p w14:paraId="650E7847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77293759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033D3F55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5FB345DE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7B8C3302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4C8DD102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7798082C" w14:textId="77777777" w:rsidR="00F75836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szCs w:val="24"/>
        </w:rPr>
      </w:pPr>
    </w:p>
    <w:p w14:paraId="31238FD2" w14:textId="77777777" w:rsidR="00F75836" w:rsidRPr="00705960" w:rsidRDefault="00F75836" w:rsidP="00F75836">
      <w:pPr>
        <w:spacing w:line="240" w:lineRule="auto"/>
        <w:ind w:firstLine="426"/>
        <w:rPr>
          <w:rFonts w:ascii="Times New Roman" w:hAnsi="Times New Roman"/>
          <w:b/>
          <w:bCs/>
          <w:lang w:val="lt-LT" w:eastAsia="en-US"/>
        </w:rPr>
      </w:pPr>
      <w:r w:rsidRPr="00705960">
        <w:rPr>
          <w:rFonts w:ascii="Times New Roman" w:hAnsi="Times New Roman"/>
          <w:b/>
          <w:bCs/>
          <w:lang w:val="lt-LT" w:eastAsia="en-US"/>
        </w:rPr>
        <w:t>Teisės aktų, pagal kuriuos atliekamas reikalavimo atitikties įvertinimas, sąrašas:</w:t>
      </w:r>
    </w:p>
    <w:p w14:paraId="3C513445" w14:textId="77777777" w:rsidR="00F75836" w:rsidRPr="00705960" w:rsidRDefault="00F75836" w:rsidP="00F75836">
      <w:pPr>
        <w:pStyle w:val="ListParagraph"/>
        <w:widowControl/>
        <w:numPr>
          <w:ilvl w:val="0"/>
          <w:numId w:val="2"/>
        </w:numPr>
        <w:tabs>
          <w:tab w:val="left" w:pos="993"/>
        </w:tabs>
        <w:adjustRightInd/>
        <w:spacing w:line="240" w:lineRule="auto"/>
        <w:ind w:left="0" w:firstLine="425"/>
        <w:jc w:val="left"/>
        <w:textAlignment w:val="auto"/>
      </w:pPr>
      <w:r w:rsidRPr="00CA583B">
        <w:rPr>
          <w:rFonts w:ascii="Times New Roman" w:hAnsi="Times New Roman"/>
          <w:iCs/>
        </w:rPr>
        <w:t>2016 m. kovo 9 d. Europos Parlamento ir Tarybos reglamentas (ES) 2016/429 dėl užkrečiamųjų gyvūnų ligų, kuriuo iš dalies keičiami ir panaikinami tam tikri gyvūnų sveikatos srities aktai</w:t>
      </w:r>
      <w:r>
        <w:rPr>
          <w:rFonts w:ascii="Times New Roman" w:hAnsi="Times New Roman"/>
          <w:iCs/>
        </w:rPr>
        <w:t xml:space="preserve"> </w:t>
      </w:r>
      <w:hyperlink r:id="rId35" w:history="1">
        <w:r w:rsidRPr="00CA583B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00CA583B">
        <w:rPr>
          <w:rFonts w:ascii="Times New Roman" w:hAnsi="Times New Roman"/>
          <w:iCs/>
        </w:rPr>
        <w:t xml:space="preserve"> </w:t>
      </w:r>
    </w:p>
    <w:p w14:paraId="124F11C3" w14:textId="77777777" w:rsidR="00F75836" w:rsidRPr="00CA583B" w:rsidDel="00943636" w:rsidRDefault="00F75836" w:rsidP="00F75836">
      <w:pPr>
        <w:pStyle w:val="ListParagraph"/>
        <w:widowControl/>
        <w:numPr>
          <w:ilvl w:val="0"/>
          <w:numId w:val="2"/>
        </w:numPr>
        <w:tabs>
          <w:tab w:val="left" w:pos="993"/>
        </w:tabs>
        <w:adjustRightInd/>
        <w:spacing w:line="240" w:lineRule="auto"/>
        <w:ind w:left="0" w:firstLine="425"/>
        <w:jc w:val="left"/>
        <w:textAlignment w:val="auto"/>
        <w:rPr>
          <w:rFonts w:ascii="Times New Roman" w:eastAsia="Arial Unicode MS" w:hAnsi="Times New Roman"/>
        </w:rPr>
      </w:pPr>
      <w:r w:rsidRPr="00CA583B">
        <w:rPr>
          <w:rFonts w:ascii="Times New Roman" w:eastAsia="Arial Unicode MS" w:hAnsi="Times New Roman"/>
        </w:rPr>
        <w:t>2020 m. sausio 30 d. Komisijos deleguotasis reglamentas (ES) 2020/691, kuriuo papildomos Europos Parlamento ir Tarybos reglamento (ES) 2016/429 su akvakultūros ūkiais ir vandens gyvūnų vežėjais susijusios taisyklės</w:t>
      </w:r>
      <w:r>
        <w:rPr>
          <w:rFonts w:ascii="Times New Roman" w:eastAsia="Arial Unicode MS" w:hAnsi="Times New Roman"/>
        </w:rPr>
        <w:t xml:space="preserve"> </w:t>
      </w:r>
      <w:hyperlink r:id="rId36" w:history="1">
        <w:r w:rsidRPr="00CA583B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CA583B">
        <w:rPr>
          <w:rFonts w:ascii="Times New Roman" w:eastAsia="Arial Unicode MS" w:hAnsi="Times New Roman"/>
        </w:rPr>
        <w:t xml:space="preserve"> </w:t>
      </w:r>
    </w:p>
    <w:p w14:paraId="7E691F62" w14:textId="77777777" w:rsidR="00F75836" w:rsidRPr="00CA583B" w:rsidDel="00943636" w:rsidRDefault="00F75836" w:rsidP="00F75836">
      <w:pPr>
        <w:pStyle w:val="ListParagraph"/>
        <w:widowControl/>
        <w:numPr>
          <w:ilvl w:val="0"/>
          <w:numId w:val="2"/>
        </w:numPr>
        <w:tabs>
          <w:tab w:val="left" w:pos="993"/>
        </w:tabs>
        <w:adjustRightInd/>
        <w:spacing w:line="240" w:lineRule="auto"/>
        <w:ind w:left="0" w:firstLine="425"/>
        <w:jc w:val="left"/>
        <w:textAlignment w:val="auto"/>
        <w:rPr>
          <w:rFonts w:ascii="Times New Roman" w:eastAsia="Arial Unicode MS" w:hAnsi="Times New Roman"/>
        </w:rPr>
      </w:pPr>
      <w:r w:rsidRPr="00CA583B">
        <w:rPr>
          <w:rFonts w:ascii="Times New Roman" w:hAnsi="Times New Roman"/>
        </w:rPr>
        <w:t>2004 m. gruodžio 22 d. Tarybos reglamentas (EB) Nr. 1/2005 dėl gyvūnų apsaugos juos vežant ir atliekant susijusias operacijas ir iš dalies keičianti Direktyvas 64/432/EEB ir 93/119/EB ir  Reglamentą (EB) Nr. 1255/97</w:t>
      </w:r>
      <w:r>
        <w:rPr>
          <w:rFonts w:ascii="Times New Roman" w:hAnsi="Times New Roman"/>
        </w:rPr>
        <w:t xml:space="preserve"> </w:t>
      </w:r>
      <w:hyperlink r:id="rId37" w:history="1">
        <w:r w:rsidRPr="00CA583B">
          <w:rPr>
            <w:rStyle w:val="Hyperlink"/>
            <w:rFonts w:ascii="Times New Roman" w:eastAsiaTheme="majorEastAsia" w:hAnsi="Times New Roman"/>
          </w:rPr>
          <w:t>https://eur-lex.europa.eu/legal-content/LT/TXT/?uri=CELEX:32005R0001</w:t>
        </w:r>
      </w:hyperlink>
      <w:r w:rsidRPr="00CA583B">
        <w:rPr>
          <w:rFonts w:ascii="Times New Roman" w:hAnsi="Times New Roman"/>
        </w:rPr>
        <w:t xml:space="preserve"> </w:t>
      </w:r>
    </w:p>
    <w:p w14:paraId="21E5DFA0" w14:textId="77777777" w:rsidR="00F75836" w:rsidRPr="00CA583B" w:rsidRDefault="00F75836" w:rsidP="00F75836">
      <w:pPr>
        <w:pStyle w:val="ListParagraph"/>
        <w:widowControl/>
        <w:numPr>
          <w:ilvl w:val="0"/>
          <w:numId w:val="2"/>
        </w:numPr>
        <w:tabs>
          <w:tab w:val="left" w:pos="993"/>
        </w:tabs>
        <w:adjustRightInd/>
        <w:spacing w:line="240" w:lineRule="auto"/>
        <w:ind w:left="0" w:firstLine="425"/>
        <w:jc w:val="left"/>
        <w:textAlignment w:val="auto"/>
        <w:rPr>
          <w:rFonts w:ascii="Times New Roman" w:hAnsi="Times New Roman"/>
        </w:rPr>
      </w:pPr>
      <w:r w:rsidRPr="00CA583B">
        <w:rPr>
          <w:rFonts w:ascii="Times New Roman" w:hAnsi="Times New Roman"/>
        </w:rPr>
        <w:t>Valstybinės maisto ir veterinarijos tarnybos direktoriaus 2006 m. kovo 16 d. įsakymas Nr. B1-207 „Dėl Lietuvos Respublikoje vežamų gyvūnų važtaraščio ir leidimo paskersti gyvūną skerdykloje formų patvirtinimo“</w:t>
      </w:r>
      <w:r>
        <w:rPr>
          <w:rFonts w:ascii="Times New Roman" w:hAnsi="Times New Roman"/>
        </w:rPr>
        <w:t xml:space="preserve"> </w:t>
      </w:r>
      <w:hyperlink r:id="rId38" w:history="1">
        <w:r w:rsidRPr="00CA583B">
          <w:rPr>
            <w:rStyle w:val="Hyperlink"/>
            <w:rFonts w:ascii="Times New Roman" w:eastAsiaTheme="majorEastAsia" w:hAnsi="Times New Roman"/>
          </w:rPr>
          <w:t>https://e-seimas.lrs.lt/portal/legalAct/lt/TAD/TAIS.272714/asr</w:t>
        </w:r>
      </w:hyperlink>
    </w:p>
    <w:p w14:paraId="0AC0BBB2" w14:textId="77777777" w:rsidR="00F75836" w:rsidRPr="00705960" w:rsidRDefault="00F75836" w:rsidP="00F75836">
      <w:pPr>
        <w:spacing w:line="240" w:lineRule="auto"/>
        <w:ind w:left="425"/>
        <w:contextualSpacing/>
        <w:rPr>
          <w:rFonts w:ascii="Times New Roman" w:hAnsi="Times New Roman"/>
        </w:rPr>
      </w:pPr>
    </w:p>
    <w:p w14:paraId="1EED427B" w14:textId="77777777" w:rsidR="00F75836" w:rsidRDefault="00F75836" w:rsidP="00F75836">
      <w:pPr>
        <w:widowControl/>
        <w:tabs>
          <w:tab w:val="left" w:pos="4200"/>
          <w:tab w:val="left" w:pos="5400"/>
          <w:tab w:val="left" w:pos="5760"/>
        </w:tabs>
        <w:adjustRightInd/>
        <w:spacing w:line="240" w:lineRule="auto"/>
        <w:textAlignment w:val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4D8B0A53" w14:textId="77777777" w:rsidR="008C79E6" w:rsidRDefault="008C79E6"/>
    <w:sectPr w:rsidR="008C79E6" w:rsidSect="00F7583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DF03" w14:textId="77777777" w:rsidR="00B00CC1" w:rsidRDefault="00B00CC1" w:rsidP="00F75836">
      <w:pPr>
        <w:spacing w:line="240" w:lineRule="auto"/>
      </w:pPr>
      <w:r>
        <w:separator/>
      </w:r>
    </w:p>
  </w:endnote>
  <w:endnote w:type="continuationSeparator" w:id="0">
    <w:p w14:paraId="4B91C975" w14:textId="77777777" w:rsidR="00B00CC1" w:rsidRDefault="00B00CC1" w:rsidP="00F75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3622" w14:textId="77777777" w:rsidR="00B00CC1" w:rsidRDefault="00B00CC1" w:rsidP="00F75836">
      <w:pPr>
        <w:spacing w:line="240" w:lineRule="auto"/>
      </w:pPr>
      <w:r>
        <w:separator/>
      </w:r>
    </w:p>
  </w:footnote>
  <w:footnote w:type="continuationSeparator" w:id="0">
    <w:p w14:paraId="59B085D5" w14:textId="77777777" w:rsidR="00B00CC1" w:rsidRDefault="00B00CC1" w:rsidP="00F75836">
      <w:pPr>
        <w:spacing w:line="240" w:lineRule="auto"/>
      </w:pPr>
      <w:r>
        <w:continuationSeparator/>
      </w:r>
    </w:p>
  </w:footnote>
  <w:footnote w:id="1">
    <w:p w14:paraId="0F1C1F9C" w14:textId="77777777" w:rsidR="00F75836" w:rsidRPr="00705960" w:rsidRDefault="00F75836" w:rsidP="00F75836">
      <w:pPr>
        <w:pStyle w:val="FootnoteText"/>
        <w:rPr>
          <w:rFonts w:ascii="Times New Roman" w:hAnsi="Times New Roman" w:cs="Times New Roman"/>
        </w:rPr>
      </w:pPr>
      <w:r w:rsidRPr="00705960">
        <w:rPr>
          <w:rStyle w:val="FootnoteReference"/>
          <w:rFonts w:ascii="Times New Roman" w:hAnsi="Times New Roman" w:cs="Times New Roman"/>
        </w:rPr>
        <w:footnoteRef/>
      </w:r>
      <w:r w:rsidRPr="00705960">
        <w:rPr>
          <w:rFonts w:ascii="Times New Roman" w:hAnsi="Times New Roman" w:cs="Times New Roman"/>
        </w:rPr>
        <w:t xml:space="preserve"> Reikalavimo aprašymas turi būti matomas tik inspektoriui, tačiau spausdinant/pateikiant aktą ūki</w:t>
      </w:r>
      <w:r>
        <w:rPr>
          <w:rFonts w:ascii="Times New Roman" w:hAnsi="Times New Roman" w:cs="Times New Roman"/>
        </w:rPr>
        <w:t>ui</w:t>
      </w:r>
      <w:r w:rsidRPr="00705960">
        <w:rPr>
          <w:rFonts w:ascii="Times New Roman" w:hAnsi="Times New Roman" w:cs="Times New Roman"/>
        </w:rPr>
        <w:t>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B4C"/>
    <w:multiLevelType w:val="hybridMultilevel"/>
    <w:tmpl w:val="2CBA4A02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D80300"/>
    <w:multiLevelType w:val="hybridMultilevel"/>
    <w:tmpl w:val="2438FB36"/>
    <w:lvl w:ilvl="0" w:tplc="27F444E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28020368">
    <w:abstractNumId w:val="1"/>
  </w:num>
  <w:num w:numId="2" w16cid:durableId="7120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6"/>
    <w:rsid w:val="00777BB8"/>
    <w:rsid w:val="008C79E6"/>
    <w:rsid w:val="009C5690"/>
    <w:rsid w:val="00B00CC1"/>
    <w:rsid w:val="00F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D155"/>
  <w15:chartTrackingRefBased/>
  <w15:docId w15:val="{C3008969-C2AF-4D8E-8BED-BB10F73B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36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8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8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8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8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7583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75836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8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7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20R0691" TargetMode="External"/><Relationship Id="rId13" Type="http://schemas.openxmlformats.org/officeDocument/2006/relationships/hyperlink" Target="https://eur-lex.europa.eu/legal-content/LT/TXT/?uri=CELEX%3A32020R0691" TargetMode="External"/><Relationship Id="rId18" Type="http://schemas.openxmlformats.org/officeDocument/2006/relationships/hyperlink" Target="https://eur-lex.europa.eu/legal-content/LT/TXT/?uri=CELEX:32005R0001" TargetMode="External"/><Relationship Id="rId26" Type="http://schemas.openxmlformats.org/officeDocument/2006/relationships/hyperlink" Target="https://eur-lex.europa.eu/eli/reg/2016/429/o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eli/reg/2016/429/oj" TargetMode="External"/><Relationship Id="rId34" Type="http://schemas.openxmlformats.org/officeDocument/2006/relationships/hyperlink" Target="https://eur-lex.europa.eu/legal-content/LT/TXT/?uri=CELEX%3A32020R0691" TargetMode="External"/><Relationship Id="rId7" Type="http://schemas.openxmlformats.org/officeDocument/2006/relationships/hyperlink" Target="https://eur-lex.europa.eu/eli/reg/2016/429/oj" TargetMode="External"/><Relationship Id="rId12" Type="http://schemas.openxmlformats.org/officeDocument/2006/relationships/hyperlink" Target="https://eur-lex.europa.eu/legal-content/LT/TXT/?uri=CELEX%3A32020R0691" TargetMode="External"/><Relationship Id="rId17" Type="http://schemas.openxmlformats.org/officeDocument/2006/relationships/hyperlink" Target="https://eur-lex.europa.eu/legal-content/LT/TXT/?uri=CELEX%3A32020R0691" TargetMode="External"/><Relationship Id="rId25" Type="http://schemas.openxmlformats.org/officeDocument/2006/relationships/hyperlink" Target="https://eur-lex.europa.eu/eli/reg/2016/429/oj" TargetMode="External"/><Relationship Id="rId33" Type="http://schemas.openxmlformats.org/officeDocument/2006/relationships/hyperlink" Target="https://eur-lex.europa.eu/legal-content/LT/TXT/?uri=CELEX%3A32020R0691" TargetMode="External"/><Relationship Id="rId38" Type="http://schemas.openxmlformats.org/officeDocument/2006/relationships/hyperlink" Target="https://e-seimas.lrs.lt/portal/legalAct/lt/TAD/TAIS.272714/as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?uri=CELEX%3A32020R0691" TargetMode="External"/><Relationship Id="rId20" Type="http://schemas.openxmlformats.org/officeDocument/2006/relationships/hyperlink" Target="https://eur-lex.europa.eu/legal-content/LT/TXT/?uri=CELEX:32005R0001" TargetMode="External"/><Relationship Id="rId29" Type="http://schemas.openxmlformats.org/officeDocument/2006/relationships/hyperlink" Target="https://eur-lex.europa.eu/legal-content/LT/TXT/?uri=CELEX%3A32020R06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?uri=CELEX%3A32020R0691" TargetMode="External"/><Relationship Id="rId24" Type="http://schemas.openxmlformats.org/officeDocument/2006/relationships/hyperlink" Target="https://eur-lex.europa.eu/legal-content/LT/TXT/?uri=CELEX%3A32020R0691" TargetMode="External"/><Relationship Id="rId32" Type="http://schemas.openxmlformats.org/officeDocument/2006/relationships/hyperlink" Target="https://eur-lex.europa.eu/eli/reg/2016/429/oj" TargetMode="External"/><Relationship Id="rId37" Type="http://schemas.openxmlformats.org/officeDocument/2006/relationships/hyperlink" Target="https://eur-lex.europa.eu/legal-content/LT/TXT/?uri=CELEX:32005R0001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LT/TXT/?uri=CELEX%3A32020R0691" TargetMode="External"/><Relationship Id="rId23" Type="http://schemas.openxmlformats.org/officeDocument/2006/relationships/hyperlink" Target="https://eur-lex.europa.eu/eli/reg/2016/429/oj" TargetMode="External"/><Relationship Id="rId28" Type="http://schemas.openxmlformats.org/officeDocument/2006/relationships/hyperlink" Target="https://eur-lex.europa.eu/legal-content/LT/TXT/?uri=CELEX%3A32020R0691" TargetMode="External"/><Relationship Id="rId36" Type="http://schemas.openxmlformats.org/officeDocument/2006/relationships/hyperlink" Target="https://eur-lex.europa.eu/legal-content/LT/TXT/?uri=CELEX%3A32020R0691" TargetMode="External"/><Relationship Id="rId10" Type="http://schemas.openxmlformats.org/officeDocument/2006/relationships/hyperlink" Target="https://eur-lex.europa.eu/legal-content/LT/TXT/?uri=CELEX%3A32020R0691" TargetMode="External"/><Relationship Id="rId19" Type="http://schemas.openxmlformats.org/officeDocument/2006/relationships/hyperlink" Target="https://e-seimas.lrs.lt/portal/legalAct/lt/TAD/TAIS.272714/asr" TargetMode="External"/><Relationship Id="rId31" Type="http://schemas.openxmlformats.org/officeDocument/2006/relationships/hyperlink" Target="https://eur-lex.europa.eu/legal-content/LT/TXT/?uri=CELEX%3A32020R0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?uri=CELEX%3A32020R0691" TargetMode="External"/><Relationship Id="rId14" Type="http://schemas.openxmlformats.org/officeDocument/2006/relationships/hyperlink" Target="https://eur-lex.europa.eu/legal-content/LT/TXT/?uri=CELEX%3A32020R0691" TargetMode="External"/><Relationship Id="rId22" Type="http://schemas.openxmlformats.org/officeDocument/2006/relationships/hyperlink" Target="https://eur-lex.europa.eu/eli/reg/2016/429/oj" TargetMode="External"/><Relationship Id="rId27" Type="http://schemas.openxmlformats.org/officeDocument/2006/relationships/hyperlink" Target="https://eur-lex.europa.eu/eli/reg/2016/429/oj" TargetMode="External"/><Relationship Id="rId30" Type="http://schemas.openxmlformats.org/officeDocument/2006/relationships/hyperlink" Target="https://eur-lex.europa.eu/eli/reg/2016/429/oj" TargetMode="External"/><Relationship Id="rId35" Type="http://schemas.openxmlformats.org/officeDocument/2006/relationships/hyperlink" Target="https://eur-lex.europa.eu/eli/reg/2016/429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5616</Words>
  <Characters>3202</Characters>
  <Application>Microsoft Office Word</Application>
  <DocSecurity>0</DocSecurity>
  <Lines>26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2025-10-30T07:46:00Z</dcterms:created>
  <dcterms:modified xsi:type="dcterms:W3CDTF">2025-10-30T07:48:00Z</dcterms:modified>
</cp:coreProperties>
</file>