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54C62" w14:textId="77777777" w:rsidR="00800F1A" w:rsidRDefault="00800F1A" w:rsidP="00800F1A">
      <w:pPr>
        <w:spacing w:after="0" w:line="240" w:lineRule="auto"/>
        <w:ind w:left="4111" w:firstLine="1073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bookmarkStart w:id="0" w:name="_Hlk160528244"/>
      <w:r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 xml:space="preserve">Kokybės sistemos darbo instrukcijos </w:t>
      </w:r>
    </w:p>
    <w:p w14:paraId="31E00359" w14:textId="77777777" w:rsidR="00800F1A" w:rsidRDefault="00800F1A" w:rsidP="00800F1A">
      <w:pPr>
        <w:spacing w:after="0" w:line="240" w:lineRule="auto"/>
        <w:ind w:left="5184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 xml:space="preserve">KT-2-4-4-D2 „Naminių paukščių sveikatingumo reikalavimų vertinimas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peryklose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“</w:t>
      </w:r>
    </w:p>
    <w:p w14:paraId="79ED4C90" w14:textId="77777777" w:rsidR="00800F1A" w:rsidRDefault="00800F1A" w:rsidP="00800F1A">
      <w:pPr>
        <w:spacing w:after="0" w:line="240" w:lineRule="auto"/>
        <w:ind w:left="4111" w:firstLine="1073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 xml:space="preserve">1 priedas  </w:t>
      </w:r>
    </w:p>
    <w:p w14:paraId="1F9F2B59" w14:textId="77777777" w:rsidR="00800F1A" w:rsidRDefault="00800F1A" w:rsidP="00800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84EB2B3" w14:textId="77777777" w:rsidR="00800F1A" w:rsidRDefault="00800F1A" w:rsidP="00800F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bookmarkStart w:id="1" w:name="_Hlk160542665"/>
    </w:p>
    <w:p w14:paraId="3E2A4DCD" w14:textId="77777777" w:rsidR="00800F1A" w:rsidRDefault="00800F1A" w:rsidP="00800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Žemės ūkio veiklą vykdančio ūkio subjekto patikrinimo akto reikalavimų srities „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Specialieji reikalavimai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perykloms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“ reikalavimai</w:t>
      </w:r>
    </w:p>
    <w:p w14:paraId="77F783F7" w14:textId="77777777" w:rsidR="00800F1A" w:rsidRDefault="00800F1A" w:rsidP="00800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</w:p>
    <w:tbl>
      <w:tblPr>
        <w:tblW w:w="10110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6098"/>
        <w:gridCol w:w="1351"/>
        <w:gridCol w:w="1810"/>
      </w:tblGrid>
      <w:tr w:rsidR="00800F1A" w14:paraId="0A1B6421" w14:textId="77777777" w:rsidTr="00800F1A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E9A68" w14:textId="77777777" w:rsidR="00800F1A" w:rsidRDefault="00800F1A">
            <w:pPr>
              <w:widowControl w:val="0"/>
              <w:autoSpaceDE w:val="0"/>
              <w:autoSpaceDN w:val="0"/>
              <w:spacing w:before="130" w:after="0" w:line="240" w:lineRule="auto"/>
              <w:ind w:left="-30" w:right="2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14:ligatures w14:val="none"/>
              </w:rPr>
              <w:t>Eil. Nr.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7568" w14:textId="77777777" w:rsidR="00800F1A" w:rsidRDefault="00800F1A">
            <w:pPr>
              <w:widowControl w:val="0"/>
              <w:autoSpaceDE w:val="0"/>
              <w:autoSpaceDN w:val="0"/>
              <w:spacing w:after="0" w:line="267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14:ligatures w14:val="none"/>
              </w:rPr>
            </w:pPr>
          </w:p>
          <w:p w14:paraId="6292C05D" w14:textId="77777777" w:rsidR="00800F1A" w:rsidRDefault="00800F1A">
            <w:pPr>
              <w:widowControl w:val="0"/>
              <w:autoSpaceDE w:val="0"/>
              <w:autoSpaceDN w:val="0"/>
              <w:spacing w:after="0" w:line="267" w:lineRule="exact"/>
              <w:ind w:left="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14:ligatures w14:val="none"/>
              </w:rPr>
              <w:t>Reikalavimas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AA8B8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14:ligatures w14:val="none"/>
              </w:rPr>
              <w:t>Taip/Ne/ Netikrinta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77B20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14:ligatures w14:val="none"/>
              </w:rPr>
              <w:t>Pastabos</w:t>
            </w:r>
          </w:p>
        </w:tc>
      </w:tr>
      <w:tr w:rsidR="00800F1A" w14:paraId="0EE2D827" w14:textId="77777777" w:rsidTr="00800F1A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CEFDF" w14:textId="77777777" w:rsidR="00800F1A" w:rsidRDefault="00800F1A">
            <w:pPr>
              <w:widowControl w:val="0"/>
              <w:autoSpaceDE w:val="0"/>
              <w:autoSpaceDN w:val="0"/>
              <w:spacing w:before="130" w:after="0" w:line="240" w:lineRule="auto"/>
              <w:ind w:left="-30" w:right="2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B2C75" w14:textId="77777777" w:rsidR="00800F1A" w:rsidRDefault="00800F1A">
            <w:pPr>
              <w:widowControl w:val="0"/>
              <w:autoSpaceDE w:val="0"/>
              <w:autoSpaceDN w:val="0"/>
              <w:spacing w:after="0" w:line="264" w:lineRule="exact"/>
              <w:ind w:right="4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Ar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peryklai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suteiktas veterinarinis patvirtinimas?</w:t>
            </w:r>
          </w:p>
          <w:p w14:paraId="4615544D" w14:textId="77777777" w:rsidR="00800F1A" w:rsidRDefault="00800F1A">
            <w:pPr>
              <w:widowControl w:val="0"/>
              <w:autoSpaceDE w:val="0"/>
              <w:autoSpaceDN w:val="0"/>
              <w:spacing w:after="0" w:line="264" w:lineRule="exact"/>
              <w:ind w:right="4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4" w:history="1">
              <w:r>
                <w:rPr>
                  <w:rStyle w:val="Hyperlink"/>
                  <w:rFonts w:ascii="Times New Roman" w:eastAsia="Calibri" w:hAnsi="Times New Roman" w:cs="Times New Roman"/>
                  <w:kern w:val="0"/>
                  <w:sz w:val="24"/>
                  <w:szCs w:val="24"/>
                  <w14:ligatures w14:val="none"/>
                </w:rPr>
                <w:t>[1]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 straipsnis 1 c)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F8F9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2A9F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00F1A" w14:paraId="3CBF163D" w14:textId="77777777" w:rsidTr="00800F1A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B0119" w14:textId="77777777" w:rsidR="00800F1A" w:rsidRDefault="00800F1A">
            <w:pPr>
              <w:widowControl w:val="0"/>
              <w:autoSpaceDE w:val="0"/>
              <w:autoSpaceDN w:val="0"/>
              <w:spacing w:before="130" w:after="0" w:line="240" w:lineRule="auto"/>
              <w:ind w:left="-30" w:right="2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5E704" w14:textId="77777777" w:rsidR="00800F1A" w:rsidRDefault="00800F1A">
            <w:pPr>
              <w:widowControl w:val="0"/>
              <w:autoSpaceDE w:val="0"/>
              <w:autoSpaceDN w:val="0"/>
              <w:spacing w:after="0" w:line="264" w:lineRule="exact"/>
              <w:ind w:right="4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Ar naminių paukščių periniai kiaušiniai yra iš patvirtintų paukštininkystės ūkių?</w:t>
            </w:r>
          </w:p>
          <w:p w14:paraId="176C2A25" w14:textId="77777777" w:rsidR="00800F1A" w:rsidRDefault="00800F1A">
            <w:pPr>
              <w:widowControl w:val="0"/>
              <w:autoSpaceDE w:val="0"/>
              <w:autoSpaceDN w:val="0"/>
              <w:spacing w:after="0" w:line="264" w:lineRule="exact"/>
              <w:ind w:right="4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5" w:history="1">
              <w:r>
                <w:rPr>
                  <w:rStyle w:val="Hyperlink"/>
                  <w:rFonts w:ascii="Times New Roman" w:eastAsia="Calibri" w:hAnsi="Times New Roman" w:cs="Times New Roman"/>
                  <w:kern w:val="0"/>
                  <w:sz w:val="24"/>
                  <w:szCs w:val="24"/>
                  <w14:ligatures w14:val="none"/>
                </w:rPr>
                <w:t>[2]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 priedo 3 dalies 1 punkto a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8EEF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27DD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00F1A" w14:paraId="12ECC043" w14:textId="77777777" w:rsidTr="00800F1A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4EA8B" w14:textId="77777777" w:rsidR="00800F1A" w:rsidRDefault="00800F1A">
            <w:pPr>
              <w:widowControl w:val="0"/>
              <w:autoSpaceDE w:val="0"/>
              <w:autoSpaceDN w:val="0"/>
              <w:spacing w:before="4" w:after="0" w:line="240" w:lineRule="auto"/>
              <w:ind w:left="-30" w:right="2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69BCE" w14:textId="77777777" w:rsidR="00800F1A" w:rsidRDefault="00800F1A">
            <w:pPr>
              <w:widowControl w:val="0"/>
              <w:autoSpaceDE w:val="0"/>
              <w:autoSpaceDN w:val="0"/>
              <w:spacing w:after="0" w:line="268" w:lineRule="exact"/>
              <w:ind w:right="4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paukštininkystės ūkyje </w:t>
            </w:r>
            <w:r>
              <w:rPr>
                <w:rFonts w:ascii="Times New Roman" w:hAnsi="Times New Roman"/>
                <w:sz w:val="24"/>
                <w:szCs w:val="24"/>
              </w:rPr>
              <w:t>įgyvendinama mikrobiologinės kokybės kontrolės programa?</w:t>
            </w:r>
          </w:p>
          <w:p w14:paraId="1574085A" w14:textId="77777777" w:rsidR="00800F1A" w:rsidRDefault="00800F1A">
            <w:pPr>
              <w:widowControl w:val="0"/>
              <w:autoSpaceDE w:val="0"/>
              <w:autoSpaceDN w:val="0"/>
              <w:spacing w:after="0" w:line="268" w:lineRule="exact"/>
              <w:ind w:right="4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6" w:history="1">
              <w:r>
                <w:rPr>
                  <w:rStyle w:val="Hyperlink"/>
                  <w:rFonts w:ascii="Times New Roman" w:eastAsia="Calibri" w:hAnsi="Times New Roman" w:cs="Times New Roman"/>
                  <w:kern w:val="0"/>
                  <w:sz w:val="24"/>
                  <w:szCs w:val="24"/>
                  <w14:ligatures w14:val="none"/>
                </w:rPr>
                <w:t>[2]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priedo 3 dalies 2 punkto a papunktis</w:t>
            </w:r>
          </w:p>
          <w:p w14:paraId="1F71285C" w14:textId="77777777" w:rsidR="00800F1A" w:rsidRDefault="00800F1A">
            <w:pPr>
              <w:widowControl w:val="0"/>
              <w:autoSpaceDE w:val="0"/>
              <w:autoSpaceDN w:val="0"/>
              <w:spacing w:after="0" w:line="268" w:lineRule="exact"/>
              <w:ind w:right="4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7" w:history="1">
              <w:r>
                <w:rPr>
                  <w:rStyle w:val="Hyperlink"/>
                  <w:rFonts w:ascii="Times New Roman" w:eastAsia="Calibri" w:hAnsi="Times New Roman" w:cs="Times New Roman"/>
                  <w:kern w:val="0"/>
                  <w:sz w:val="24"/>
                  <w:szCs w:val="24"/>
                  <w14:ligatures w14:val="none"/>
                </w:rPr>
                <w:t>[3]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Priedo 2.1.1 ir 2.2.1 papunkčiai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05B9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5BCD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00F1A" w14:paraId="6709C8D9" w14:textId="77777777" w:rsidTr="00800F1A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87653" w14:textId="77777777" w:rsidR="00800F1A" w:rsidRDefault="00800F1A">
            <w:pPr>
              <w:widowControl w:val="0"/>
              <w:autoSpaceDE w:val="0"/>
              <w:autoSpaceDN w:val="0"/>
              <w:spacing w:before="3" w:after="0" w:line="240" w:lineRule="auto"/>
              <w:ind w:left="-30" w:right="2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01988" w14:textId="77777777" w:rsidR="00800F1A" w:rsidRDefault="00800F1A">
            <w:pPr>
              <w:widowControl w:val="0"/>
              <w:autoSpaceDE w:val="0"/>
              <w:autoSpaceDN w:val="0"/>
              <w:spacing w:after="0" w:line="268" w:lineRule="exact"/>
              <w:ind w:right="4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nustatyta mėginių paėmimo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perykloje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tvarka?</w:t>
            </w:r>
          </w:p>
          <w:p w14:paraId="19E045E8" w14:textId="77777777" w:rsidR="00800F1A" w:rsidRDefault="00800F1A">
            <w:pPr>
              <w:widowControl w:val="0"/>
              <w:autoSpaceDE w:val="0"/>
              <w:autoSpaceDN w:val="0"/>
              <w:spacing w:after="0" w:line="268" w:lineRule="exact"/>
              <w:ind w:right="4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8" w:history="1">
              <w:r>
                <w:rPr>
                  <w:rStyle w:val="Hyperlink"/>
                  <w:rFonts w:ascii="Times New Roman" w:eastAsia="Calibri" w:hAnsi="Times New Roman" w:cs="Times New Roman"/>
                  <w:kern w:val="0"/>
                  <w:sz w:val="24"/>
                  <w:szCs w:val="24"/>
                  <w14:ligatures w14:val="none"/>
                </w:rPr>
                <w:t>[2]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priedo 3 dalies 2 punkto b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A468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FC6D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00F1A" w14:paraId="54C971A5" w14:textId="77777777" w:rsidTr="00800F1A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B1235" w14:textId="77777777" w:rsidR="00800F1A" w:rsidRDefault="00800F1A">
            <w:pPr>
              <w:widowControl w:val="0"/>
              <w:autoSpaceDE w:val="0"/>
              <w:autoSpaceDN w:val="0"/>
              <w:spacing w:before="3" w:after="0" w:line="240" w:lineRule="auto"/>
              <w:ind w:left="-30" w:right="2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6723E" w14:textId="77777777" w:rsidR="00800F1A" w:rsidRDefault="00800F1A">
            <w:pPr>
              <w:widowControl w:val="0"/>
              <w:autoSpaceDE w:val="0"/>
              <w:autoSpaceDN w:val="0"/>
              <w:spacing w:after="0" w:line="268" w:lineRule="exact"/>
              <w:ind w:right="4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Ar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peryklos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įrengtos ir veikia atskirai nuo naminių ir kitų paukščių laikymo patalpų?</w:t>
            </w:r>
          </w:p>
          <w:p w14:paraId="7F797914" w14:textId="77777777" w:rsidR="00800F1A" w:rsidRDefault="00800F1A">
            <w:pPr>
              <w:widowControl w:val="0"/>
              <w:autoSpaceDE w:val="0"/>
              <w:autoSpaceDN w:val="0"/>
              <w:spacing w:after="0" w:line="268" w:lineRule="exact"/>
              <w:ind w:right="4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9" w:history="1">
              <w:r>
                <w:rPr>
                  <w:rStyle w:val="Hyperlink"/>
                  <w:rFonts w:ascii="Times New Roman" w:eastAsia="Calibri" w:hAnsi="Times New Roman" w:cs="Times New Roman"/>
                  <w:kern w:val="0"/>
                  <w:sz w:val="24"/>
                  <w:szCs w:val="24"/>
                  <w14:ligatures w14:val="none"/>
                </w:rPr>
                <w:t>[2]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I priedo 3 dalies 3 punkto a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FC2F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8418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00F1A" w14:paraId="76F21AA5" w14:textId="77777777" w:rsidTr="00800F1A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9BA7B" w14:textId="77777777" w:rsidR="00800F1A" w:rsidRDefault="00800F1A">
            <w:pPr>
              <w:widowControl w:val="0"/>
              <w:autoSpaceDE w:val="0"/>
              <w:autoSpaceDN w:val="0"/>
              <w:spacing w:before="4" w:after="0" w:line="240" w:lineRule="auto"/>
              <w:ind w:left="-30" w:right="2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3DDF9" w14:textId="77777777" w:rsidR="00800F1A" w:rsidRDefault="00800F1A">
            <w:pPr>
              <w:spacing w:after="0" w:line="240" w:lineRule="auto"/>
              <w:ind w:right="4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Ar visos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peryklų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patalpos ir įranga yra atskiros</w:t>
            </w:r>
            <w:r>
              <w:rPr>
                <w:sz w:val="24"/>
                <w:szCs w:val="24"/>
              </w:rPr>
              <w:t>?</w:t>
            </w:r>
          </w:p>
          <w:p w14:paraId="7A375266" w14:textId="77777777" w:rsidR="00800F1A" w:rsidRDefault="00800F1A">
            <w:pPr>
              <w:spacing w:after="0" w:line="240" w:lineRule="auto"/>
              <w:ind w:right="4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0" w:history="1">
              <w:r>
                <w:rPr>
                  <w:rStyle w:val="Hyperlink"/>
                  <w:rFonts w:ascii="Times New Roman" w:eastAsia="Calibri" w:hAnsi="Times New Roman" w:cs="Times New Roman"/>
                  <w:kern w:val="0"/>
                  <w:sz w:val="24"/>
                  <w:szCs w:val="24"/>
                  <w14:ligatures w14:val="none"/>
                </w:rPr>
                <w:t>[2]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 priedo 3 dalies 3 punkto b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150E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999F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B1F32F0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00F1A" w14:paraId="17491764" w14:textId="77777777" w:rsidTr="00800F1A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516B7" w14:textId="77777777" w:rsidR="00800F1A" w:rsidRDefault="00800F1A">
            <w:pPr>
              <w:widowControl w:val="0"/>
              <w:autoSpaceDE w:val="0"/>
              <w:autoSpaceDN w:val="0"/>
              <w:spacing w:before="3" w:after="0" w:line="240" w:lineRule="auto"/>
              <w:ind w:left="-30" w:right="2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53E2E" w14:textId="77777777" w:rsidR="00800F1A" w:rsidRDefault="00800F1A">
            <w:pPr>
              <w:spacing w:after="0" w:line="240" w:lineRule="auto"/>
              <w:ind w:right="4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Ar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peryklos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patalpos, kuriose laikomi vienadieniai viščiukai arba periniai kiaušiniai, neturi sąlyčio su graužikais ir ne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peryklos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paukščiais?</w:t>
            </w:r>
          </w:p>
          <w:p w14:paraId="4DDF1A11" w14:textId="77777777" w:rsidR="00800F1A" w:rsidRDefault="00800F1A">
            <w:pPr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1" w:history="1">
              <w:r>
                <w:rPr>
                  <w:rStyle w:val="Hyperlink"/>
                  <w:rFonts w:ascii="Times New Roman" w:eastAsia="Calibri" w:hAnsi="Times New Roman" w:cs="Times New Roman"/>
                  <w:kern w:val="0"/>
                  <w:sz w:val="24"/>
                  <w:szCs w:val="24"/>
                  <w14:ligatures w14:val="none"/>
                </w:rPr>
                <w:t>[2]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I priedo 3 dalies 3 punkto c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D03A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BF092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800F1A" w14:paraId="5ABC4A22" w14:textId="77777777" w:rsidTr="00800F1A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31597" w14:textId="77777777" w:rsidR="00800F1A" w:rsidRDefault="00800F1A">
            <w:pPr>
              <w:widowControl w:val="0"/>
              <w:autoSpaceDE w:val="0"/>
              <w:autoSpaceDN w:val="0"/>
              <w:spacing w:before="4" w:after="0" w:line="240" w:lineRule="auto"/>
              <w:ind w:left="-30" w:right="2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03FE2" w14:textId="77777777" w:rsidR="00800F1A" w:rsidRDefault="00800F1A">
            <w:pPr>
              <w:widowControl w:val="0"/>
              <w:autoSpaceDE w:val="0"/>
              <w:autoSpaceDN w:val="0"/>
              <w:spacing w:after="0" w:line="268" w:lineRule="exact"/>
              <w:ind w:right="4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Ar visi procesai, susiję su periniais kiaušiniais, kilnojamaisiais įrenginiais ir darbuotojų judėjimu, vyksta viena kryptimi?</w:t>
            </w:r>
          </w:p>
          <w:p w14:paraId="4B0FAEDF" w14:textId="77777777" w:rsidR="00800F1A" w:rsidRDefault="00800F1A">
            <w:pPr>
              <w:widowControl w:val="0"/>
              <w:autoSpaceDE w:val="0"/>
              <w:autoSpaceDN w:val="0"/>
              <w:spacing w:after="0" w:line="268" w:lineRule="exact"/>
              <w:ind w:right="4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2" w:history="1">
              <w:r>
                <w:rPr>
                  <w:rStyle w:val="Hyperlink"/>
                  <w:rFonts w:ascii="Times New Roman" w:eastAsia="Calibri" w:hAnsi="Times New Roman" w:cs="Times New Roman"/>
                  <w:kern w:val="0"/>
                  <w:sz w:val="24"/>
                  <w:szCs w:val="24"/>
                  <w14:ligatures w14:val="none"/>
                </w:rPr>
                <w:t>[2]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 priedo 3 dalies 3 punkto d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7EE6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07E3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00F1A" w14:paraId="7996709B" w14:textId="77777777" w:rsidTr="00800F1A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4DCD0" w14:textId="77777777" w:rsidR="00800F1A" w:rsidRDefault="00800F1A">
            <w:pPr>
              <w:widowControl w:val="0"/>
              <w:autoSpaceDE w:val="0"/>
              <w:autoSpaceDN w:val="0"/>
              <w:spacing w:before="4" w:after="0" w:line="240" w:lineRule="auto"/>
              <w:ind w:left="-30" w:right="2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7BE9A" w14:textId="77777777" w:rsidR="00800F1A" w:rsidRDefault="00800F1A">
            <w:pPr>
              <w:widowControl w:val="0"/>
              <w:autoSpaceDE w:val="0"/>
              <w:autoSpaceDN w:val="0"/>
              <w:spacing w:after="0" w:line="268" w:lineRule="exact"/>
              <w:ind w:right="4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Ar pastatuose įrengtas natūralus arba dirbtinis apšvietimas ir temperatūros reguliavimo bei ventiliacijos sistemos?</w:t>
            </w:r>
          </w:p>
          <w:p w14:paraId="6567E5C5" w14:textId="77777777" w:rsidR="00800F1A" w:rsidRDefault="00800F1A">
            <w:pPr>
              <w:widowControl w:val="0"/>
              <w:autoSpaceDE w:val="0"/>
              <w:autoSpaceDN w:val="0"/>
              <w:spacing w:after="0" w:line="268" w:lineRule="exact"/>
              <w:ind w:right="4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3" w:history="1">
              <w:r>
                <w:rPr>
                  <w:rStyle w:val="Hyperlink"/>
                  <w:rFonts w:ascii="Times New Roman" w:eastAsia="Calibri" w:hAnsi="Times New Roman" w:cs="Times New Roman"/>
                  <w:kern w:val="0"/>
                  <w:sz w:val="24"/>
                  <w:szCs w:val="24"/>
                  <w14:ligatures w14:val="none"/>
                </w:rPr>
                <w:t>[2]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I priedo 3 dalies 3 punkto e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AFE0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0122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00F1A" w14:paraId="197B7359" w14:textId="77777777" w:rsidTr="00800F1A">
        <w:trPr>
          <w:trHeight w:val="778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AE2DF" w14:textId="77777777" w:rsidR="00800F1A" w:rsidRDefault="00800F1A">
            <w:pPr>
              <w:widowControl w:val="0"/>
              <w:autoSpaceDE w:val="0"/>
              <w:autoSpaceDN w:val="0"/>
              <w:spacing w:before="4" w:after="0" w:line="240" w:lineRule="auto"/>
              <w:ind w:left="-30" w:right="2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E4286" w14:textId="77777777" w:rsidR="00800F1A" w:rsidRDefault="00800F1A">
            <w:pPr>
              <w:widowControl w:val="0"/>
              <w:autoSpaceDE w:val="0"/>
              <w:autoSpaceDN w:val="0"/>
              <w:spacing w:after="0" w:line="268" w:lineRule="exact"/>
              <w:ind w:right="4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Ar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peryklų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grindys, sienos bei įranga lengvai dezinfekuojamos?</w:t>
            </w:r>
          </w:p>
          <w:p w14:paraId="629B13C0" w14:textId="77777777" w:rsidR="00800F1A" w:rsidRDefault="00800F1A">
            <w:pPr>
              <w:widowControl w:val="0"/>
              <w:autoSpaceDE w:val="0"/>
              <w:autoSpaceDN w:val="0"/>
              <w:spacing w:after="0" w:line="268" w:lineRule="exact"/>
              <w:ind w:right="4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4" w:history="1">
              <w:r>
                <w:rPr>
                  <w:rStyle w:val="Hyperlink"/>
                  <w:rFonts w:ascii="Times New Roman" w:eastAsia="Calibri" w:hAnsi="Times New Roman" w:cs="Times New Roman"/>
                  <w:kern w:val="0"/>
                  <w:sz w:val="24"/>
                  <w:szCs w:val="24"/>
                  <w14:ligatures w14:val="none"/>
                </w:rPr>
                <w:t>[2]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 priedo 3 dalies 3 punkto f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9D5D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F936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00F1A" w14:paraId="14D9343E" w14:textId="77777777" w:rsidTr="00800F1A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4D1EF" w14:textId="77777777" w:rsidR="00800F1A" w:rsidRDefault="00800F1A">
            <w:pPr>
              <w:widowControl w:val="0"/>
              <w:autoSpaceDE w:val="0"/>
              <w:autoSpaceDN w:val="0"/>
              <w:spacing w:before="4" w:after="0" w:line="240" w:lineRule="auto"/>
              <w:ind w:left="-30" w:right="2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684EE" w14:textId="77777777" w:rsidR="00800F1A" w:rsidRDefault="00800F1A">
            <w:pPr>
              <w:spacing w:after="0" w:line="240" w:lineRule="auto"/>
              <w:ind w:right="4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Ar yra tinkama įranga transporto priemonėms ir įrenginiams valyti ir dezinfekuoti?</w:t>
            </w:r>
          </w:p>
          <w:p w14:paraId="635686C2" w14:textId="77777777" w:rsidR="00800F1A" w:rsidRDefault="00800F1A">
            <w:pPr>
              <w:spacing w:after="0" w:line="240" w:lineRule="auto"/>
              <w:ind w:right="4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5" w:history="1">
              <w:r>
                <w:rPr>
                  <w:rStyle w:val="Hyperlink"/>
                  <w:rFonts w:ascii="Times New Roman" w:eastAsia="Calibri" w:hAnsi="Times New Roman" w:cs="Times New Roman"/>
                  <w:kern w:val="0"/>
                  <w:sz w:val="24"/>
                  <w:szCs w:val="24"/>
                  <w14:ligatures w14:val="none"/>
                </w:rPr>
                <w:t>[2]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 priedo 3 dalies 3 punkto g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BAB0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AF3B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00F1A" w14:paraId="1CD5423C" w14:textId="77777777" w:rsidTr="00800F1A">
        <w:trPr>
          <w:trHeight w:val="962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5DEC6" w14:textId="77777777" w:rsidR="00800F1A" w:rsidRDefault="00800F1A">
            <w:pPr>
              <w:widowControl w:val="0"/>
              <w:autoSpaceDE w:val="0"/>
              <w:autoSpaceDN w:val="0"/>
              <w:spacing w:before="4" w:after="0" w:line="240" w:lineRule="auto"/>
              <w:ind w:left="-30" w:right="2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0513C" w14:textId="77777777" w:rsidR="00800F1A" w:rsidRDefault="00800F1A">
            <w:pPr>
              <w:spacing w:after="0" w:line="240" w:lineRule="auto"/>
              <w:ind w:right="4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Ar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peryklos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darbuotojai turi žinių ir gebėjimų, susijusių su dezinfekavimo ir higienos metodais?</w:t>
            </w:r>
          </w:p>
          <w:p w14:paraId="47A935A6" w14:textId="77777777" w:rsidR="00800F1A" w:rsidRDefault="00800F1A">
            <w:pPr>
              <w:spacing w:after="0" w:line="240" w:lineRule="auto"/>
              <w:ind w:right="4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6" w:history="1">
              <w:r>
                <w:rPr>
                  <w:rStyle w:val="Hyperlink"/>
                  <w:rFonts w:ascii="Times New Roman" w:eastAsia="Calibri" w:hAnsi="Times New Roman" w:cs="Times New Roman"/>
                  <w:kern w:val="0"/>
                  <w:sz w:val="24"/>
                  <w:szCs w:val="24"/>
                  <w14:ligatures w14:val="none"/>
                </w:rPr>
                <w:t>[2]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I priedo 3 dalies 4 punkto a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0CC1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0DB9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00F1A" w14:paraId="4F554B13" w14:textId="77777777" w:rsidTr="00800F1A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AAAF9" w14:textId="77777777" w:rsidR="00800F1A" w:rsidRDefault="00800F1A">
            <w:pPr>
              <w:widowControl w:val="0"/>
              <w:autoSpaceDE w:val="0"/>
              <w:autoSpaceDN w:val="0"/>
              <w:spacing w:before="4" w:after="0" w:line="240" w:lineRule="auto"/>
              <w:ind w:left="-30" w:right="2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DEE9E" w14:textId="77777777" w:rsidR="00800F1A" w:rsidRDefault="00800F1A">
            <w:pPr>
              <w:widowControl w:val="0"/>
              <w:autoSpaceDE w:val="0"/>
              <w:autoSpaceDN w:val="0"/>
              <w:spacing w:after="0" w:line="268" w:lineRule="exact"/>
              <w:ind w:right="4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Ar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perykloje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registruojami laikomų perinių kiaušinių rūšis ir skaičius?</w:t>
            </w:r>
          </w:p>
          <w:p w14:paraId="17980D46" w14:textId="77777777" w:rsidR="00800F1A" w:rsidRDefault="00800F1A">
            <w:pPr>
              <w:widowControl w:val="0"/>
              <w:autoSpaceDE w:val="0"/>
              <w:autoSpaceDN w:val="0"/>
              <w:spacing w:after="0" w:line="268" w:lineRule="exact"/>
              <w:ind w:right="4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7" w:history="1">
              <w:r>
                <w:rPr>
                  <w:rStyle w:val="Hyperlink"/>
                  <w:rFonts w:ascii="Times New Roman" w:eastAsia="Calibri" w:hAnsi="Times New Roman" w:cs="Times New Roman"/>
                  <w:kern w:val="0"/>
                  <w:sz w:val="24"/>
                  <w:szCs w:val="24"/>
                  <w14:ligatures w14:val="none"/>
                </w:rPr>
                <w:t>[2]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II dalies III antraštinės dalies 2 skyriaus 33 straipsnio a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033B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14:ligatures w14:val="none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CF3D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14:ligatures w14:val="none"/>
              </w:rPr>
            </w:pPr>
          </w:p>
        </w:tc>
      </w:tr>
      <w:tr w:rsidR="00800F1A" w14:paraId="682A06FF" w14:textId="77777777" w:rsidTr="00800F1A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DF1AB" w14:textId="77777777" w:rsidR="00800F1A" w:rsidRDefault="00800F1A">
            <w:pPr>
              <w:widowControl w:val="0"/>
              <w:autoSpaceDE w:val="0"/>
              <w:autoSpaceDN w:val="0"/>
              <w:spacing w:before="4" w:after="0" w:line="240" w:lineRule="auto"/>
              <w:ind w:left="-30" w:right="2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CF7D2" w14:textId="77777777" w:rsidR="00800F1A" w:rsidRDefault="00800F1A">
            <w:pPr>
              <w:widowControl w:val="0"/>
              <w:autoSpaceDE w:val="0"/>
              <w:autoSpaceDN w:val="0"/>
              <w:spacing w:after="0" w:line="268" w:lineRule="exact"/>
              <w:ind w:right="4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Ar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perykloje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registruojama informacija apie įvežtų perinių kiaušinių kilmės ūkį ir įvežimo datą?</w:t>
            </w:r>
          </w:p>
          <w:p w14:paraId="4FDC372A" w14:textId="77777777" w:rsidR="00800F1A" w:rsidRDefault="00800F1A">
            <w:pPr>
              <w:widowControl w:val="0"/>
              <w:autoSpaceDE w:val="0"/>
              <w:autoSpaceDN w:val="0"/>
              <w:spacing w:after="0" w:line="268" w:lineRule="exact"/>
              <w:ind w:right="4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8" w:history="1">
              <w:r>
                <w:rPr>
                  <w:rStyle w:val="Hyperlink"/>
                  <w:rFonts w:ascii="Times New Roman" w:eastAsia="Calibri" w:hAnsi="Times New Roman" w:cs="Times New Roman"/>
                  <w:kern w:val="0"/>
                  <w:sz w:val="24"/>
                  <w:szCs w:val="24"/>
                  <w14:ligatures w14:val="none"/>
                </w:rPr>
                <w:t>[2]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II dalies III antraštinės dalies 2 skyriaus 33 straipsnio b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141C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14:ligatures w14:val="none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4573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14:ligatures w14:val="none"/>
              </w:rPr>
            </w:pPr>
          </w:p>
        </w:tc>
      </w:tr>
      <w:tr w:rsidR="00800F1A" w14:paraId="2B326C7F" w14:textId="77777777" w:rsidTr="00800F1A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B43A6" w14:textId="77777777" w:rsidR="00800F1A" w:rsidRDefault="00800F1A">
            <w:pPr>
              <w:widowControl w:val="0"/>
              <w:autoSpaceDE w:val="0"/>
              <w:autoSpaceDN w:val="0"/>
              <w:spacing w:before="4" w:after="0" w:line="240" w:lineRule="auto"/>
              <w:ind w:left="-30" w:right="2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EF711" w14:textId="77777777" w:rsidR="00800F1A" w:rsidRDefault="00800F1A">
            <w:pPr>
              <w:widowControl w:val="0"/>
              <w:autoSpaceDE w:val="0"/>
              <w:autoSpaceDN w:val="0"/>
              <w:spacing w:after="0" w:line="268" w:lineRule="exact"/>
              <w:ind w:right="4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Ar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perykloje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registruojamas neprasikalusių kiaušinių skaičius ir jų paskirties vieta?</w:t>
            </w:r>
          </w:p>
          <w:p w14:paraId="1999371F" w14:textId="77777777" w:rsidR="00800F1A" w:rsidRDefault="00800F1A">
            <w:pPr>
              <w:widowControl w:val="0"/>
              <w:autoSpaceDE w:val="0"/>
              <w:autoSpaceDN w:val="0"/>
              <w:spacing w:after="0" w:line="268" w:lineRule="exact"/>
              <w:ind w:right="4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9" w:history="1">
              <w:r>
                <w:rPr>
                  <w:rStyle w:val="Hyperlink"/>
                  <w:rFonts w:ascii="Times New Roman" w:eastAsia="Calibri" w:hAnsi="Times New Roman" w:cs="Times New Roman"/>
                  <w:kern w:val="0"/>
                  <w:sz w:val="24"/>
                  <w:szCs w:val="24"/>
                  <w14:ligatures w14:val="none"/>
                </w:rPr>
                <w:t>[2]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II dalies III antraštinės dalies 2 skyriaus 33 straipsnio c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61FA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14:ligatures w14:val="none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72C3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14:ligatures w14:val="none"/>
              </w:rPr>
            </w:pPr>
          </w:p>
        </w:tc>
      </w:tr>
      <w:tr w:rsidR="00800F1A" w14:paraId="7DF273DF" w14:textId="77777777" w:rsidTr="00800F1A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90CD1" w14:textId="77777777" w:rsidR="00800F1A" w:rsidRDefault="00800F1A">
            <w:pPr>
              <w:widowControl w:val="0"/>
              <w:autoSpaceDE w:val="0"/>
              <w:autoSpaceDN w:val="0"/>
              <w:spacing w:before="4" w:after="0" w:line="240" w:lineRule="auto"/>
              <w:ind w:left="-30" w:right="2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D8F1B" w14:textId="77777777" w:rsidR="00800F1A" w:rsidRDefault="00800F1A">
            <w:pPr>
              <w:widowControl w:val="0"/>
              <w:autoSpaceDE w:val="0"/>
              <w:autoSpaceDN w:val="0"/>
              <w:spacing w:after="0" w:line="268" w:lineRule="exact"/>
              <w:ind w:right="4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Ar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perykloje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registruojamas išperintų kiaušinių skaičius?</w:t>
            </w:r>
          </w:p>
          <w:p w14:paraId="4297EF34" w14:textId="77777777" w:rsidR="00800F1A" w:rsidRDefault="00800F1A">
            <w:pPr>
              <w:widowControl w:val="0"/>
              <w:autoSpaceDE w:val="0"/>
              <w:autoSpaceDN w:val="0"/>
              <w:spacing w:after="0" w:line="268" w:lineRule="exact"/>
              <w:ind w:right="4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20" w:history="1">
              <w:r>
                <w:rPr>
                  <w:rStyle w:val="Hyperlink"/>
                  <w:rFonts w:ascii="Times New Roman" w:eastAsia="Calibri" w:hAnsi="Times New Roman" w:cs="Times New Roman"/>
                  <w:kern w:val="0"/>
                  <w:sz w:val="24"/>
                  <w:szCs w:val="24"/>
                  <w14:ligatures w14:val="none"/>
                </w:rPr>
                <w:t>[2]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II dalies III antraštinės dalies 2 skyriaus 33 straipsnio d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630C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14:ligatures w14:val="none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B64D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14:ligatures w14:val="none"/>
              </w:rPr>
            </w:pPr>
          </w:p>
        </w:tc>
      </w:tr>
      <w:tr w:rsidR="00800F1A" w14:paraId="45F718D4" w14:textId="77777777" w:rsidTr="00800F1A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4324A" w14:textId="77777777" w:rsidR="00800F1A" w:rsidRDefault="00800F1A">
            <w:pPr>
              <w:widowControl w:val="0"/>
              <w:autoSpaceDE w:val="0"/>
              <w:autoSpaceDN w:val="0"/>
              <w:spacing w:before="4" w:after="0" w:line="240" w:lineRule="auto"/>
              <w:ind w:left="-30" w:right="2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A1987" w14:textId="77777777" w:rsidR="00800F1A" w:rsidRDefault="00800F1A">
            <w:pPr>
              <w:widowControl w:val="0"/>
              <w:autoSpaceDE w:val="0"/>
              <w:autoSpaceDN w:val="0"/>
              <w:spacing w:after="0" w:line="268" w:lineRule="exact"/>
              <w:ind w:right="4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Ar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peryklose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registruojama informaciją apie vykdomas vakcinacijos programas?</w:t>
            </w:r>
          </w:p>
          <w:p w14:paraId="1A51FEF3" w14:textId="77777777" w:rsidR="00800F1A" w:rsidRDefault="00800F1A">
            <w:pPr>
              <w:widowControl w:val="0"/>
              <w:autoSpaceDE w:val="0"/>
              <w:autoSpaceDN w:val="0"/>
              <w:spacing w:after="0" w:line="268" w:lineRule="exact"/>
              <w:ind w:right="4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21" w:history="1">
              <w:r>
                <w:rPr>
                  <w:rStyle w:val="Hyperlink"/>
                  <w:rFonts w:ascii="Times New Roman" w:eastAsia="Calibri" w:hAnsi="Times New Roman" w:cs="Times New Roman"/>
                  <w:kern w:val="0"/>
                  <w:sz w:val="24"/>
                  <w:szCs w:val="24"/>
                  <w14:ligatures w14:val="none"/>
                </w:rPr>
                <w:t>[2]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II dalies III antraštinės dalies 2 skyriaus 33 straipsnio e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7EE0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45F7" w14:textId="77777777" w:rsidR="00800F1A" w:rsidRDefault="00800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3805FD9" w14:textId="77777777" w:rsidR="00800F1A" w:rsidRDefault="00800F1A" w:rsidP="00800F1A">
      <w:pPr>
        <w:tabs>
          <w:tab w:val="left" w:pos="921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bookmarkEnd w:id="0"/>
    <w:p w14:paraId="5EE9D1B6" w14:textId="77777777" w:rsidR="00800F1A" w:rsidRDefault="00800F1A" w:rsidP="00800F1A">
      <w:pPr>
        <w:tabs>
          <w:tab w:val="left" w:pos="921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fldChar w:fldCharType="begin"/>
      </w:r>
      <w:r>
        <w:instrText>HYPERLINK "https://eur-lex.europa.eu/legal-content/LT/TXT/?uri=CELEX%3A02016R0429-20210421"</w:instrText>
      </w:r>
      <w:r>
        <w:fldChar w:fldCharType="separate"/>
      </w:r>
      <w:r>
        <w:rPr>
          <w:rStyle w:val="Hyperlink"/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[1]</w:t>
      </w:r>
      <w:r>
        <w:fldChar w:fldCharType="end"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2019 m. birželio 28 d. Komisijos deleguotasis reglamentas (ES) 2019/2035, kuriuo dėl sausumos gyvūnus laikantiems ūkiams ir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perykloms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taikomų taisyklių, taip pat ir tam tikrų laikomų sausumos gyvūnų ir perinių kiaušinių atsekamumo papildomas Europos Parlamento ir Tarybos reglamentas (ES) 2016/429</w:t>
      </w:r>
    </w:p>
    <w:p w14:paraId="4B1F10B4" w14:textId="77777777" w:rsidR="00800F1A" w:rsidRDefault="00800F1A" w:rsidP="00800F1A">
      <w:pPr>
        <w:tabs>
          <w:tab w:val="left" w:pos="921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[</w:t>
      </w:r>
      <w:hyperlink r:id="rId22" w:history="1">
        <w:r>
          <w:rPr>
            <w:rStyle w:val="Hyperlink"/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2</w:t>
        </w:r>
      </w:hyperlink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] Komisijos deleguotasis reglamentas (ES) 2019/2035 2019 m. birželio 28 d. kuriuo dėl sausumos gyvūnus laikantiems ūkiams ir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perykloms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taikomų taisyklių, taip pat ir tam tikrų laikomų sausumos gyvūnų ir perinių kiaušinių atsekamumo papildomas Europos Parlamento ir Tarybos reglamentas.</w:t>
      </w:r>
    </w:p>
    <w:p w14:paraId="01D09E37" w14:textId="77777777" w:rsidR="00800F1A" w:rsidRDefault="00800F1A" w:rsidP="00800F1A">
      <w:pPr>
        <w:tabs>
          <w:tab w:val="left" w:pos="921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hyperlink r:id="rId23" w:history="1">
        <w:r>
          <w:rPr>
            <w:rStyle w:val="Hyperlink"/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[3]</w:t>
        </w:r>
      </w:hyperlink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2010 m. kovo 10 d. Komisijos reglamentas (ES) Nr. 200/2010, kuriuo įgyvendinamos Europos Parlamento ir Tarybos reglamento (EB) Nr. 2160/2003 nuostatos dėl Europos Sąjungos tikslo mažinti salmonelių </w:t>
      </w:r>
      <w:proofErr w:type="spellStart"/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serotipų</w:t>
      </w:r>
      <w:proofErr w:type="spellEnd"/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paplitimą veislinių </w:t>
      </w:r>
      <w:proofErr w:type="spellStart"/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Gallus</w:t>
      </w:r>
      <w:proofErr w:type="spellEnd"/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gallus</w:t>
      </w:r>
      <w:proofErr w:type="spellEnd"/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rūšies suaugusių paukščių pulkuose</w:t>
      </w:r>
      <w:bookmarkStart w:id="2" w:name="_Hlk157151927"/>
      <w:bookmarkEnd w:id="1"/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bookmarkEnd w:id="2"/>
    </w:p>
    <w:p w14:paraId="1ADE58C0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1A"/>
    <w:rsid w:val="00777BB8"/>
    <w:rsid w:val="00800F1A"/>
    <w:rsid w:val="008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E969"/>
  <w15:chartTrackingRefBased/>
  <w15:docId w15:val="{695514A5-84F1-4D23-844D-762DF20B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F1A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0F1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F1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F1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F1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F1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F1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F1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F1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F1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F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F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F1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F1A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F1A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F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F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F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00F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0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T/TXT/?uri=CELEX%3A02019R2035-20230406" TargetMode="External"/><Relationship Id="rId13" Type="http://schemas.openxmlformats.org/officeDocument/2006/relationships/hyperlink" Target="https://eur-lex.europa.eu/legal-content/LT/TXT/?uri=CELEX%3A02019R2035-20230406" TargetMode="External"/><Relationship Id="rId18" Type="http://schemas.openxmlformats.org/officeDocument/2006/relationships/hyperlink" Target="https://eur-lex.europa.eu/legal-content/LT/TXT/?uri=CELEX%3A02019R2035-202304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ur-lex.europa.eu/legal-content/LT/TXT/?uri=CELEX%3A02019R2035-20230406" TargetMode="External"/><Relationship Id="rId7" Type="http://schemas.openxmlformats.org/officeDocument/2006/relationships/hyperlink" Target="https://eur-lex.europa.eu/legal-content/LT/TXT/?uri=CELEX%3A02019R2035-20230406" TargetMode="External"/><Relationship Id="rId12" Type="http://schemas.openxmlformats.org/officeDocument/2006/relationships/hyperlink" Target="https://eur-lex.europa.eu/legal-content/LT/TXT/?uri=CELEX%3A02019R2035-20230406" TargetMode="External"/><Relationship Id="rId17" Type="http://schemas.openxmlformats.org/officeDocument/2006/relationships/hyperlink" Target="https://eur-lex.europa.eu/legal-content/LT/TXT/?uri=CELEX%3A02019R2035-20230406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eur-lex.europa.eu/legal-content/LT/TXT/?uri=CELEX%3A02019R2035-20230406" TargetMode="External"/><Relationship Id="rId20" Type="http://schemas.openxmlformats.org/officeDocument/2006/relationships/hyperlink" Target="https://eur-lex.europa.eu/legal-content/LT/TXT/?uri=CELEX%3A02019R2035-20230406" TargetMode="Externa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LT/TXT/?uri=CELEX%3A02019R2035-20230406" TargetMode="External"/><Relationship Id="rId11" Type="http://schemas.openxmlformats.org/officeDocument/2006/relationships/hyperlink" Target="https://eur-lex.europa.eu/legal-content/LT/TXT/?uri=CELEX%3A02019R2035-2023040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eur-lex.europa.eu/legal-content/LT/TXT/?uri=CELEX%3A02019R2035-20230406" TargetMode="External"/><Relationship Id="rId15" Type="http://schemas.openxmlformats.org/officeDocument/2006/relationships/hyperlink" Target="https://eur-lex.europa.eu/legal-content/LT/TXT/?uri=CELEX%3A02019R2035-20230406" TargetMode="External"/><Relationship Id="rId23" Type="http://schemas.openxmlformats.org/officeDocument/2006/relationships/hyperlink" Target="https://eur-lex.europa.eu/legal-content/LT/TXT/?uri=CELEX%3A02010R0200-20190310&amp;qid=1706768034191" TargetMode="External"/><Relationship Id="rId10" Type="http://schemas.openxmlformats.org/officeDocument/2006/relationships/hyperlink" Target="https://eur-lex.europa.eu/legal-content/LT/TXT/?uri=CELEX%3A02019R2035-20230406" TargetMode="External"/><Relationship Id="rId19" Type="http://schemas.openxmlformats.org/officeDocument/2006/relationships/hyperlink" Target="https://eur-lex.europa.eu/legal-content/LT/TXT/?uri=CELEX%3A02019R2035-20230406" TargetMode="External"/><Relationship Id="rId4" Type="http://schemas.openxmlformats.org/officeDocument/2006/relationships/hyperlink" Target="https://eur-lex.europa.eu/legal-content/LT/TXT/?uri=CELEX%3A02016R0429-20210421" TargetMode="External"/><Relationship Id="rId9" Type="http://schemas.openxmlformats.org/officeDocument/2006/relationships/hyperlink" Target="https://eur-lex.europa.eu/legal-content/LT/TXT/?uri=CELEX%3A02019R2035-20230406" TargetMode="External"/><Relationship Id="rId14" Type="http://schemas.openxmlformats.org/officeDocument/2006/relationships/hyperlink" Target="https://eur-lex.europa.eu/legal-content/LT/TXT/?uri=CELEX%3A02019R2035-20230406" TargetMode="External"/><Relationship Id="rId22" Type="http://schemas.openxmlformats.org/officeDocument/2006/relationships/hyperlink" Target="https://eur-lex.europa.eu/legal-content/LT/TXT/?uri=CELEX%3A02019R2035-20230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3579</Words>
  <Characters>2041</Characters>
  <Application>Microsoft Office Word</Application>
  <DocSecurity>0</DocSecurity>
  <Lines>17</Lines>
  <Paragraphs>11</Paragraphs>
  <ScaleCrop>false</ScaleCrop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2024-03-21T08:41:00Z</dcterms:created>
  <dcterms:modified xsi:type="dcterms:W3CDTF">2024-03-21T08:43:00Z</dcterms:modified>
</cp:coreProperties>
</file>