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638D" w14:textId="77777777" w:rsidR="00E62530" w:rsidRDefault="00E62530" w:rsidP="00E62530">
      <w:pPr>
        <w:ind w:left="4962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Kokybės sistemos darbo instrukcijos </w:t>
      </w:r>
    </w:p>
    <w:p w14:paraId="2FFAEB8B" w14:textId="77777777" w:rsidR="00E62530" w:rsidRDefault="00E62530" w:rsidP="00E62530">
      <w:pPr>
        <w:ind w:left="4962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KT-2-4-6-D3 „Specialiųjų vištų dedeklių laikymo reikalavimų kontrolė“</w:t>
      </w:r>
    </w:p>
    <w:p w14:paraId="482B0CBC" w14:textId="77777777" w:rsidR="00E62530" w:rsidRDefault="00E62530" w:rsidP="00E62530">
      <w:pPr>
        <w:ind w:left="4962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1 priedas </w:t>
      </w:r>
    </w:p>
    <w:p w14:paraId="36946EF3" w14:textId="77777777" w:rsidR="00E62530" w:rsidRDefault="00E62530" w:rsidP="00E62530">
      <w:pPr>
        <w:suppressAutoHyphens/>
        <w:autoSpaceDN w:val="0"/>
        <w:snapToGrid w:val="0"/>
        <w:rPr>
          <w:rFonts w:ascii="Times New Roman" w:eastAsia="Arial Unicode MS" w:hAnsi="Times New Roman"/>
          <w:sz w:val="24"/>
          <w:szCs w:val="24"/>
          <w:lang w:val="lt-LT" w:eastAsia="en-US"/>
        </w:rPr>
      </w:pPr>
    </w:p>
    <w:p w14:paraId="77713445" w14:textId="77777777" w:rsidR="00E62530" w:rsidRDefault="00E62530" w:rsidP="00E62530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Žemės ūkio veiklą vykdančio ūkio subjekto patikrinimo akto reikalavimų srities „Specialieji vištų dedeklių laikymo reikalavimai“ reikalavimai</w:t>
      </w:r>
    </w:p>
    <w:p w14:paraId="4CEF2CA8" w14:textId="77777777" w:rsidR="00E62530" w:rsidRDefault="00E62530" w:rsidP="00E62530">
      <w:pPr>
        <w:rPr>
          <w:rFonts w:ascii="Times New Roman" w:hAnsi="Times New Roman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05"/>
        <w:gridCol w:w="5184"/>
        <w:gridCol w:w="1477"/>
        <w:gridCol w:w="2162"/>
      </w:tblGrid>
      <w:tr w:rsidR="00E62530" w14:paraId="02B5ED58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10F6" w14:textId="77777777" w:rsidR="00E62530" w:rsidRDefault="00E625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</w:t>
            </w:r>
          </w:p>
          <w:p w14:paraId="6E445E5E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3468" w14:textId="77777777" w:rsidR="00E62530" w:rsidRDefault="00E62530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6827" w14:textId="77777777" w:rsidR="00E62530" w:rsidRDefault="00E625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Taip / Ne / </w:t>
            </w:r>
          </w:p>
          <w:p w14:paraId="6E6068FF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netikrinta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EDC2" w14:textId="77777777" w:rsidR="00E62530" w:rsidRDefault="00E625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E62530" w14:paraId="0D162977" w14:textId="77777777" w:rsidTr="00E625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EF7C" w14:textId="77777777" w:rsidR="00E62530" w:rsidRDefault="00E62530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Specialieji vištų dedeklių laikymo reikalavimai</w:t>
            </w:r>
          </w:p>
        </w:tc>
      </w:tr>
      <w:tr w:rsidR="00E62530" w14:paraId="7F4CBAEF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744D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7F0C" w14:textId="77777777" w:rsidR="00E62530" w:rsidRDefault="00E62530">
            <w:pPr>
              <w:widowControl w:val="0"/>
              <w:autoSpaceDE w:val="0"/>
              <w:autoSpaceDN w:val="0"/>
              <w:ind w:left="110" w:right="118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vištų dedeklių narvų durų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konstrukcija tinkamų matmenų ir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saugi?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22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75D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9FB" w14:textId="77777777" w:rsidR="00E62530" w:rsidRDefault="00E62530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5AE2484C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7157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DCAA" w14:textId="77777777" w:rsidR="00E62530" w:rsidRDefault="00E62530">
            <w:pPr>
              <w:widowControl w:val="0"/>
              <w:autoSpaceDE w:val="0"/>
              <w:autoSpaceDN w:val="0"/>
              <w:spacing w:line="268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paukštidėse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pakankamai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šviesu,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kad vištos dedeklės būtų gerai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matomos, jos galėtų matyti viena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kitą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bei tyrinėti aplinką?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7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93A" w14:textId="77777777" w:rsidR="00E62530" w:rsidRDefault="00E62530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D3E" w14:textId="77777777" w:rsidR="00E62530" w:rsidRDefault="00E62530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2D5B317F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605B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473F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paukštidėje vienodai sklinda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natūrali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šviesa?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7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A9A" w14:textId="77777777" w:rsidR="00E62530" w:rsidRDefault="00E62530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10F" w14:textId="77777777" w:rsidR="00E62530" w:rsidRDefault="00E62530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6D66D57F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8ED5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55F9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paukštidės apšvietimas atitinka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paros ritmą ir nesukelia vištoms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dedeklėms sveikatos sutrikimų ir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(ar)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elgesio pokyčių?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E11" w14:textId="77777777" w:rsidR="00E62530" w:rsidRDefault="00E62530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F80" w14:textId="77777777" w:rsidR="00E62530" w:rsidRDefault="00E62530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63FADCFF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6B97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3C78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taikomas tinkamas prieblandos 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periodas vištų dedeklių sutūpimui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laktų?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7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5C6" w14:textId="77777777" w:rsidR="00E62530" w:rsidRDefault="00E62530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245" w14:textId="77777777" w:rsidR="00E62530" w:rsidRDefault="00E62530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3A72D6D3" w14:textId="77777777" w:rsidTr="00E62530">
        <w:trPr>
          <w:trHeight w:val="341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0D43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8905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vištoms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dedeklėms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nešalinami audiniai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kūno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dalys?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p., </w:t>
            </w:r>
            <w:r>
              <w:fldChar w:fldCharType="begin"/>
            </w:r>
            <w:r>
              <w:instrText>HYPERLINK "https://e-seimas.lrs.lt/portal/legalAct/lt/TAD/TAIS.290934/asr"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[2]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9 p., </w:t>
            </w:r>
            <w:r>
              <w:fldChar w:fldCharType="begin"/>
            </w:r>
            <w:r>
              <w:instrText>HYPERLINK "https://e-seimas.lrs.lt/portal/legalAct/lt/TAD/TAIS.290934/asr"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</w:rPr>
              <w:t>[2]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17-22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822C" w14:textId="77777777" w:rsidR="00E62530" w:rsidRDefault="00E62530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77B" w14:textId="77777777" w:rsidR="00E62530" w:rsidRDefault="00E62530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175565A9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3EE2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E6C" w14:textId="77777777" w:rsidR="00E62530" w:rsidRDefault="00E62530">
            <w:pPr>
              <w:pStyle w:val="TableParagraph"/>
              <w:ind w:left="110" w:righ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narvai įrengti taip, kad vištoms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dedeklėms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nėra galimybės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iš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jų išeiti? </w:t>
            </w:r>
            <w:hyperlink r:id="rId6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21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BC5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C31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345E0CD3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06A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68F0" w14:textId="77777777" w:rsidR="00E62530" w:rsidRDefault="00E62530">
            <w:pPr>
              <w:pStyle w:val="TableParagraph"/>
              <w:spacing w:line="267" w:lineRule="exact"/>
              <w:ind w:left="1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Ar vištų dedeklių laikymo patalpose vengiama nuolatinio ar staigaus triukšmo? </w:t>
            </w:r>
            <w:hyperlink r:id="rId7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580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212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2E5F92C3" w14:textId="77777777" w:rsidTr="00E62530">
        <w:trPr>
          <w:trHeight w:val="58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BDCA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BEA2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paukštidėse, kuriose įrengti du aukštai narvų ar daugiau, yra priemonės vištų dedeklių apžiūrai ir jų išėmimui?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4EF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4A0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6319E226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0501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B9C1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paukštidės ir jose esanti įranga prieš patalpinant vištas dedekles valomos ir dezinfekuojamos ir vėliau palaikomos švarios?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8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D20A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AED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1279A94D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B3A7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046E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vištų dedeklių laikymo narvuose įrengtos nagų dilinimo priemonės?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23.6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60E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59D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45AF3811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AA77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799C" w14:textId="77777777" w:rsidR="00E62530" w:rsidRDefault="00E62530">
            <w:pPr>
              <w:pStyle w:val="TableParagraph"/>
              <w:ind w:left="110" w:right="283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reguliariai šalinamos vištų </w:t>
            </w:r>
            <w:r>
              <w:rPr>
                <w:sz w:val="24"/>
                <w:szCs w:val="24"/>
              </w:rPr>
              <w:t xml:space="preserve">dedeklių išmatos? </w:t>
            </w:r>
            <w:hyperlink r:id="rId8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  <w:lang w:val="nl-NL"/>
              </w:rPr>
              <w:t xml:space="preserve"> 8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27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58A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2A3748AA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C475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A602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kasdien surenkamos vištų </w:t>
            </w:r>
          </w:p>
          <w:p w14:paraId="180C449D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dedeklių gaišenos?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8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31E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5B3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530" w14:paraId="5265171F" w14:textId="77777777" w:rsidTr="00E625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63EC" w14:textId="77777777" w:rsidR="00E62530" w:rsidRDefault="00E62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 vištų dedeklių laikymui nepagerintuose narvuose</w:t>
            </w:r>
          </w:p>
        </w:tc>
      </w:tr>
      <w:tr w:rsidR="00E62530" w14:paraId="3D64ED01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D78F" w14:textId="77777777" w:rsidR="00E62530" w:rsidRDefault="00E625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14-20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2D85" w14:textId="77777777" w:rsidR="00E62530" w:rsidRDefault="00E62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Netaikoma, ves vištų dedeklių laikymas nepagerintuose narvuose nuo 2012 metų sausio 1 dienos draudžiamas</w:t>
            </w:r>
          </w:p>
        </w:tc>
      </w:tr>
      <w:tr w:rsidR="00E62530" w14:paraId="691E3960" w14:textId="77777777" w:rsidTr="00E625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736" w14:textId="77777777" w:rsidR="00E62530" w:rsidRDefault="00E625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Specialieji reikalavimai vištų dedeklių laikymui narvinėse paukštidėse</w:t>
            </w:r>
          </w:p>
        </w:tc>
      </w:tr>
      <w:tr w:rsidR="00E62530" w14:paraId="01D91B36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1441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EF88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 kiekvienai vištai dedeklei skiriamas ne mažesnis kaip 750 cm 2 plotas, įskaitant 600 cm</w:t>
            </w:r>
            <w:r>
              <w:rPr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sz w:val="24"/>
                <w:szCs w:val="24"/>
                <w:lang w:val="nl-NL"/>
              </w:rPr>
              <w:t xml:space="preserve"> naudingo ploto?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nl-NL"/>
              </w:rPr>
              <w:t xml:space="preserve"> p., 18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02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9A6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68B879D2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9B4C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5A52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nenaudojami mažesnio kaip 2000 cm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ploto narvai?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19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6F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025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00EE42EE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57D7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91D2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narvų aukštis naudingame plote yra ne mažesnis kaip 45 cm, kitose vietose – ne mažesnis kaip 20 cm?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19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06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475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5503BDE4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52D7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ECA9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kiekvienai vištai dedeklei skiriama 15 cm laktos?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23.3 pp.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335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1B6" w14:textId="77777777" w:rsidR="00E62530" w:rsidRDefault="00E62530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E62530" w14:paraId="7299D06A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A774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25.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B586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kiekvienai vištai dedeklei skiriama 12 cm lesalų lovelio ilgio?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23.4 pp.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236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742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2EDB9CB5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303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20158" w14:textId="77777777" w:rsidR="00E62530" w:rsidRDefault="00E62530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kiekviena višta dedeklė turi galimybę prieiti prie ne mažiau kaip dviejų automatinių girdyklų?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4"/>
                <w:szCs w:val="24"/>
                <w:lang w:val="lt-LT" w:eastAsia="en-US"/>
              </w:rPr>
              <w:t>[1]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23.5 pp.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335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402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7DA2FF8C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8646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FFF3" w14:textId="77777777" w:rsidR="00E62530" w:rsidRDefault="00E62530">
            <w:pPr>
              <w:pStyle w:val="TableParagraph"/>
              <w:ind w:left="110" w:right="31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nl-NL"/>
              </w:rPr>
              <w:t xml:space="preserve">Ar narve įrengtas lizdas?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</w:rPr>
              <w:t>23.1 p</w:t>
            </w:r>
            <w:r>
              <w:rPr>
                <w:sz w:val="24"/>
                <w:szCs w:val="24"/>
                <w:lang w:val="en-US"/>
              </w:rPr>
              <w:t>p., 3.2 pp.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2EB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2D0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1EE6FB37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A3D4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F387" w14:textId="77777777" w:rsidR="00E62530" w:rsidRDefault="00E62530">
            <w:pPr>
              <w:pStyle w:val="TableParagraph"/>
              <w:ind w:left="110" w:right="105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narve yra lesiojimui ir kapstymuisi tinkamų pakratų, medžiagų?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23.2 pp., 3.5 pp.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11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D166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0D57B5D6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398F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EEDB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palikti 90 cm pločio praėjimai tarp narvų eilių bei ne mažesni kaip 35 cm tarpai tarp pastato grindų ir apatinio narvo grindų 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20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B1C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9D1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6365B76A" w14:textId="77777777" w:rsidTr="00E625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7AFA" w14:textId="77777777" w:rsidR="00E62530" w:rsidRDefault="00E625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Specialieji reikalavimai vištų dedeklių laikymui grindinėse paukštidėse</w:t>
            </w:r>
          </w:p>
        </w:tc>
      </w:tr>
      <w:tr w:rsidR="00E62530" w14:paraId="546C0C8B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3B3E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9C47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 viename naudingo ploto m</w:t>
            </w:r>
            <w:r>
              <w:rPr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sz w:val="24"/>
                <w:szCs w:val="24"/>
                <w:lang w:val="nl-NL"/>
              </w:rPr>
              <w:t xml:space="preserve"> laikomos ne daugiau kaip 9 vištos dedeklės?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17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911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2E2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68A0BBDA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2589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C7F7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Ar kiekvienai vištai dedeklei skiriama ne mažiau kaip 250 cm</w:t>
            </w:r>
            <w:r>
              <w:rPr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sz w:val="24"/>
                <w:szCs w:val="24"/>
                <w:lang w:val="nl-NL"/>
              </w:rPr>
              <w:t xml:space="preserve"> pakratais pakreikto ploto?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13.5 pp., 3.5 pp.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EB6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8E2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6373E3C2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DCE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2275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patalpoje pakreikta ne mažiau kaip 1/3 grindų paviršiaus? </w:t>
            </w:r>
            <w:hyperlink r:id="rId9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13.5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77B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D44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30A6DC80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858E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90FF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Ar grindų konstrukcija tokia, kad vištai dedeklei stovint visi trys į priekį nukreiptų pirštų nagai remiasi į grindis? </w:t>
            </w:r>
            <w:r>
              <w:fldChar w:fldCharType="begin"/>
            </w:r>
            <w:r>
              <w:instrText>HYPERLINK "https://e-seimas.lrs.lt/portal/legalAct/lt/TAD/fb998d32de3811e9a85be81119c7a8fa/asr"</w:instrText>
            </w:r>
            <w:r>
              <w:fldChar w:fldCharType="separate"/>
            </w:r>
            <w:r>
              <w:rPr>
                <w:rStyle w:val="Hyperlink"/>
                <w:rFonts w:eastAsiaTheme="majorEastAsia"/>
                <w:sz w:val="24"/>
                <w:szCs w:val="24"/>
              </w:rPr>
              <w:t>[1]</w:t>
            </w:r>
            <w:r>
              <w:fldChar w:fldCharType="end"/>
            </w:r>
            <w:r>
              <w:rPr>
                <w:sz w:val="24"/>
                <w:szCs w:val="24"/>
                <w:lang w:val="nl-NL"/>
              </w:rPr>
              <w:t xml:space="preserve"> 14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5C94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0B8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355F233A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32F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3CE5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naudojant linijines </w:t>
            </w:r>
            <w:proofErr w:type="spellStart"/>
            <w:r>
              <w:rPr>
                <w:sz w:val="24"/>
                <w:szCs w:val="24"/>
              </w:rPr>
              <w:t>lesyklas</w:t>
            </w:r>
            <w:proofErr w:type="spellEnd"/>
            <w:r>
              <w:rPr>
                <w:sz w:val="24"/>
                <w:szCs w:val="24"/>
              </w:rPr>
              <w:t xml:space="preserve">, kiekvienai vištai dedeklei skiriama ne mažiau kaip 10 cm </w:t>
            </w:r>
            <w:proofErr w:type="spellStart"/>
            <w:r>
              <w:rPr>
                <w:sz w:val="24"/>
                <w:szCs w:val="24"/>
              </w:rPr>
              <w:t>lesyklos</w:t>
            </w:r>
            <w:proofErr w:type="spellEnd"/>
            <w:r>
              <w:rPr>
                <w:sz w:val="24"/>
                <w:szCs w:val="24"/>
              </w:rPr>
              <w:t xml:space="preserve"> ilgio? </w:t>
            </w:r>
            <w:hyperlink r:id="rId10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739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ADE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51596249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3FA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B15E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naudojant žiedines </w:t>
            </w:r>
            <w:proofErr w:type="spellStart"/>
            <w:r>
              <w:rPr>
                <w:sz w:val="24"/>
                <w:szCs w:val="24"/>
              </w:rPr>
              <w:t>lesyklas</w:t>
            </w:r>
            <w:proofErr w:type="spellEnd"/>
            <w:r>
              <w:rPr>
                <w:sz w:val="24"/>
                <w:szCs w:val="24"/>
              </w:rPr>
              <w:t xml:space="preserve">, kiekvienai vištai dedeklei skiriama ne mažiau kaip 4 cm </w:t>
            </w:r>
            <w:proofErr w:type="spellStart"/>
            <w:r>
              <w:rPr>
                <w:sz w:val="24"/>
                <w:szCs w:val="24"/>
              </w:rPr>
              <w:t>lesyklos</w:t>
            </w:r>
            <w:proofErr w:type="spellEnd"/>
            <w:r>
              <w:rPr>
                <w:sz w:val="24"/>
                <w:szCs w:val="24"/>
              </w:rPr>
              <w:t xml:space="preserve"> pločio? </w:t>
            </w:r>
            <w:hyperlink r:id="rId11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22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76F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2D100243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7930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0B23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naudojant ištisinio lovelio tipo girdyklas, kiekvienai vištai dedeklei skiriama ne mažiau kaip 2,5 cm girdyklos pločio? </w:t>
            </w:r>
            <w:hyperlink r:id="rId1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42B6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9D7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4D4AC1EA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800E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9060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naudojant žiedines lovelio tipo girdyklas, kiekvienai vištai dedeklei skiriama ne mažiau kaip 1 cm girdyklos pločio? </w:t>
            </w:r>
            <w:hyperlink r:id="rId13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CF3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0FD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3C9689C3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1D34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1CA5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naudojant automatines girdyklas dešimčiai vištų dedeklių skiriama ne mažiau kaip viena girdykla? </w:t>
            </w:r>
            <w:hyperlink r:id="rId1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E18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34C8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15C02596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503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1A8DD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lauko aptvaruose įrengtos girdyklos? </w:t>
            </w:r>
            <w:hyperlink r:id="rId15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16.2.2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B0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617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1024A713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E2F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E783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septynioms vištoms dedeklėms skiriamas ne mažiau kaip vienas lizdas? </w:t>
            </w:r>
            <w:hyperlink r:id="rId16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13.3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 xml:space="preserve">., 3.2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D66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AF9B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33785847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4E9B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6DD2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120 vištų dedeklių skiriamas ne mažiau kaip 1 m2 plotas grupiniame lizde? </w:t>
            </w:r>
            <w:hyperlink r:id="rId17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13.3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 xml:space="preserve">., 3.2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DF24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75B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07B1926C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7ACE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F099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kiekvienai vištai dedeklei skiriama ne mažiau kaip 15 cm laktos; lakta neįrengta virš pakreikto ploto? </w:t>
            </w:r>
            <w:hyperlink r:id="rId18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13.4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D87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5C2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4EC71195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C87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EFB9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tarpai tarp horizontaliai išdėstytų laktų ne mažesni kaip 30 cm, o tarpas tarp laktų ir sienų ne mažesnis kaip 20 cm? </w:t>
            </w:r>
            <w:hyperlink r:id="rId19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13.4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D63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F5C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021D72DC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4DB5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E4A8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vištoms dedeklėms sudaryta galimybė laisvai judėti tarp narvų aukštų? </w:t>
            </w:r>
            <w:hyperlink r:id="rId20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15 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AF3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E8F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4D809C0E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0A29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44.1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8F21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įrengti ne daugiau kaip keturi narvų aukštai? </w:t>
            </w:r>
            <w:hyperlink r:id="rId21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15.1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35D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07A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2BF9D696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A6B8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44.2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B9C8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narvų aukštis kiekviename aukšte ne mažesnis kaip 45 cm? </w:t>
            </w:r>
            <w:hyperlink r:id="rId22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15.2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ECC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C97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4A3B0EE9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0825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44.3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2A23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įrengtos girdyklos ir </w:t>
            </w:r>
            <w:proofErr w:type="spellStart"/>
            <w:r>
              <w:rPr>
                <w:sz w:val="24"/>
                <w:szCs w:val="24"/>
              </w:rPr>
              <w:t>lesyklos</w:t>
            </w:r>
            <w:proofErr w:type="spellEnd"/>
            <w:r>
              <w:rPr>
                <w:sz w:val="24"/>
                <w:szCs w:val="24"/>
              </w:rPr>
              <w:t xml:space="preserve">, užtikrinančios vienodą vištų dedeklių aprūpinimą lesalu ir vandeniu? </w:t>
            </w:r>
            <w:hyperlink r:id="rId23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15.3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717C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3AF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67AE1F86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CE6B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CD8A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Ar narvai išdėstyti taip, kad mėšlas iš viršutinių narvų nekristų ant apatinių narvų? </w:t>
            </w:r>
            <w:hyperlink r:id="rId24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15.4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BD6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F60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0BFA995E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3604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1053A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Jeigu vištoms dedeklėms yra sudarytos sąlygos laisvai išeiti į lauko aptvarus ar įrengtos ne mažesnio kaip 35 cm aukščio ir 40 cm pločio landos? </w:t>
            </w:r>
            <w:hyperlink r:id="rId25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16.1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0BD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770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30" w14:paraId="1C1F8135" w14:textId="77777777" w:rsidTr="00E62530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7148" w14:textId="77777777" w:rsidR="00E62530" w:rsidRDefault="00E62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B199" w14:textId="77777777" w:rsidR="00E62530" w:rsidRDefault="00E62530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lauko aptvaruose vištoms dedeklėms skiriamas pakankamas tinkamo grunto plotas? </w:t>
            </w:r>
            <w:hyperlink r:id="rId26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>
              <w:rPr>
                <w:sz w:val="24"/>
                <w:szCs w:val="24"/>
              </w:rPr>
              <w:t xml:space="preserve"> 16.2.1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 xml:space="preserve">., 16.2.2 </w:t>
            </w: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746" w14:textId="77777777" w:rsidR="00E62530" w:rsidRDefault="00E62530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37" w14:textId="77777777" w:rsidR="00E62530" w:rsidRDefault="00E62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C9B20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</w:p>
    <w:p w14:paraId="1BC828C4" w14:textId="77777777" w:rsidR="00E62530" w:rsidRDefault="00E62530" w:rsidP="00E62530">
      <w:pPr>
        <w:ind w:right="-82"/>
        <w:rPr>
          <w:rFonts w:ascii="Times New Roman" w:eastAsia="Arial Unicode MS" w:hAnsi="Times New Roman"/>
          <w:b/>
          <w:bCs/>
          <w:sz w:val="24"/>
        </w:rPr>
      </w:pPr>
      <w:r>
        <w:rPr>
          <w:rFonts w:ascii="Times New Roman" w:eastAsia="Arial Unicode MS" w:hAnsi="Times New Roman"/>
          <w:b/>
          <w:bCs/>
          <w:sz w:val="24"/>
        </w:rPr>
        <w:t>Teisės aktų sąrašas:</w:t>
      </w:r>
    </w:p>
    <w:p w14:paraId="68D0B0B5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</w:p>
    <w:p w14:paraId="2917F0DD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1. Vištų dedeklių gerovės reikalavimai, patvirtinti Valstybinės maisto ir veterinarijos tarnybos direktoriaus 2019 m. rugsėjo 20 d. įsakymu Nr. B1-690 „Dėl Vištų dedeklių gerovės reikalavimų patvirtinimo“.</w:t>
      </w:r>
    </w:p>
    <w:p w14:paraId="16801159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</w:p>
    <w:p w14:paraId="4A264C9D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  <w:hyperlink r:id="rId27" w:history="1">
        <w:r>
          <w:rPr>
            <w:rStyle w:val="Hyperlink"/>
            <w:rFonts w:ascii="Times New Roman" w:eastAsia="Arial Unicode MS" w:hAnsi="Times New Roman"/>
            <w:sz w:val="24"/>
          </w:rPr>
          <w:t>https://e-seimas.lrs.lt/portal/legalAct/lt/TAD/fb998d32de3811e9a85be81119c7a8fa/asr</w:t>
        </w:r>
      </w:hyperlink>
    </w:p>
    <w:p w14:paraId="3A55EF3D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2. Gyvūnų gerovės reikalavimai atliekant kai kurias veterinarines procedūras, patvirtinti Valstybinės maisto ir veterinarijos tarnybos direktoriaus 2007 m. sausio 12 d. įsakymu Nr. B1-50 „Dėl Gyvūnų gerovės reikalavimų atliekant kai kurias veterinarines procedūras patvirtinimo“</w:t>
      </w:r>
    </w:p>
    <w:p w14:paraId="0DC7C696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</w:p>
    <w:p w14:paraId="441A30A6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  <w:hyperlink r:id="rId28" w:history="1">
        <w:r>
          <w:rPr>
            <w:rStyle w:val="Hyperlink"/>
            <w:rFonts w:ascii="Times New Roman" w:eastAsia="Arial Unicode MS" w:hAnsi="Times New Roman"/>
            <w:sz w:val="24"/>
          </w:rPr>
          <w:t>https://e-seimas.lrs.lt/portal/legalAct/lt/TAD/TAIS.290934/asr</w:t>
        </w:r>
      </w:hyperlink>
    </w:p>
    <w:p w14:paraId="3BC92712" w14:textId="77777777" w:rsidR="00E62530" w:rsidRDefault="00E62530" w:rsidP="00E62530">
      <w:pPr>
        <w:ind w:right="-82"/>
        <w:rPr>
          <w:rFonts w:ascii="Times New Roman" w:eastAsia="Arial Unicode MS" w:hAnsi="Times New Roman"/>
          <w:sz w:val="24"/>
        </w:rPr>
      </w:pPr>
    </w:p>
    <w:p w14:paraId="2EECC46B" w14:textId="77777777" w:rsidR="00E62530" w:rsidRDefault="00E62530" w:rsidP="00E62530">
      <w:pPr>
        <w:jc w:val="center"/>
      </w:pPr>
      <w:r>
        <w:rPr>
          <w:rFonts w:ascii="Times New Roman" w:eastAsia="Arial Unicode MS" w:hAnsi="Times New Roman"/>
        </w:rPr>
        <w:t>_______________</w:t>
      </w:r>
    </w:p>
    <w:p w14:paraId="11EB7B5E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30"/>
    <w:rsid w:val="00777BB8"/>
    <w:rsid w:val="008C79E6"/>
    <w:rsid w:val="00E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87BE"/>
  <w15:chartTrackingRefBased/>
  <w15:docId w15:val="{FD0E2CE4-E4D5-4EE4-904D-7E251E0E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530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5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5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5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5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5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5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5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5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5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5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5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5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62530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62530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lt-LT" w:eastAsia="en-US"/>
    </w:rPr>
  </w:style>
  <w:style w:type="table" w:styleId="TableGrid">
    <w:name w:val="Table Grid"/>
    <w:basedOn w:val="TableNormal"/>
    <w:uiPriority w:val="39"/>
    <w:rsid w:val="00E6253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fb998d32de3811e9a85be81119c7a8fa/asr" TargetMode="External"/><Relationship Id="rId13" Type="http://schemas.openxmlformats.org/officeDocument/2006/relationships/hyperlink" Target="https://e-seimas.lrs.lt/portal/legalAct/lt/TAD/fb998d32de3811e9a85be81119c7a8fa/asr" TargetMode="External"/><Relationship Id="rId18" Type="http://schemas.openxmlformats.org/officeDocument/2006/relationships/hyperlink" Target="https://e-seimas.lrs.lt/portal/legalAct/lt/TAD/fb998d32de3811e9a85be81119c7a8fa/asr" TargetMode="External"/><Relationship Id="rId26" Type="http://schemas.openxmlformats.org/officeDocument/2006/relationships/hyperlink" Target="https://e-seimas.lrs.lt/portal/legalAct/lt/TAD/fb998d32de3811e9a85be81119c7a8fa/as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seimas.lrs.lt/portal/legalAct/lt/TAD/fb998d32de3811e9a85be81119c7a8fa/asr" TargetMode="External"/><Relationship Id="rId7" Type="http://schemas.openxmlformats.org/officeDocument/2006/relationships/hyperlink" Target="https://e-seimas.lrs.lt/portal/legalAct/lt/TAD/fb998d32de3811e9a85be81119c7a8fa/asr" TargetMode="External"/><Relationship Id="rId12" Type="http://schemas.openxmlformats.org/officeDocument/2006/relationships/hyperlink" Target="https://e-seimas.lrs.lt/portal/legalAct/lt/TAD/fb998d32de3811e9a85be81119c7a8fa/asr" TargetMode="External"/><Relationship Id="rId17" Type="http://schemas.openxmlformats.org/officeDocument/2006/relationships/hyperlink" Target="https://e-seimas.lrs.lt/portal/legalAct/lt/TAD/fb998d32de3811e9a85be81119c7a8fa/asr" TargetMode="External"/><Relationship Id="rId25" Type="http://schemas.openxmlformats.org/officeDocument/2006/relationships/hyperlink" Target="https://e-seimas.lrs.lt/portal/legalAct/lt/TAD/fb998d32de3811e9a85be81119c7a8fa/as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seimas.lrs.lt/portal/legalAct/lt/TAD/fb998d32de3811e9a85be81119c7a8fa/asr" TargetMode="External"/><Relationship Id="rId20" Type="http://schemas.openxmlformats.org/officeDocument/2006/relationships/hyperlink" Target="https://e-seimas.lrs.lt/portal/legalAct/lt/TAD/fb998d32de3811e9a85be81119c7a8fa/as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fb998d32de3811e9a85be81119c7a8fa/asr" TargetMode="External"/><Relationship Id="rId11" Type="http://schemas.openxmlformats.org/officeDocument/2006/relationships/hyperlink" Target="https://e-seimas.lrs.lt/portal/legalAct/lt/TAD/fb998d32de3811e9a85be81119c7a8fa/asr" TargetMode="External"/><Relationship Id="rId24" Type="http://schemas.openxmlformats.org/officeDocument/2006/relationships/hyperlink" Target="https://e-seimas.lrs.lt/portal/legalAct/lt/TAD/fb998d32de3811e9a85be81119c7a8fa/asr" TargetMode="External"/><Relationship Id="rId5" Type="http://schemas.openxmlformats.org/officeDocument/2006/relationships/hyperlink" Target="https://e-seimas.lrs.lt/portal/legalAct/lt/TAD/fb998d32de3811e9a85be81119c7a8fa/asr" TargetMode="External"/><Relationship Id="rId15" Type="http://schemas.openxmlformats.org/officeDocument/2006/relationships/hyperlink" Target="https://e-seimas.lrs.lt/portal/legalAct/lt/TAD/fb998d32de3811e9a85be81119c7a8fa/asr" TargetMode="External"/><Relationship Id="rId23" Type="http://schemas.openxmlformats.org/officeDocument/2006/relationships/hyperlink" Target="https://e-seimas.lrs.lt/portal/legalAct/lt/TAD/fb998d32de3811e9a85be81119c7a8fa/asr" TargetMode="External"/><Relationship Id="rId28" Type="http://schemas.openxmlformats.org/officeDocument/2006/relationships/hyperlink" Target="https://e-seimas.lrs.lt/portal/legalAct/lt/TAD/TAIS.290934/asr" TargetMode="External"/><Relationship Id="rId10" Type="http://schemas.openxmlformats.org/officeDocument/2006/relationships/hyperlink" Target="https://e-seimas.lrs.lt/portal/legalAct/lt/TAD/fb998d32de3811e9a85be81119c7a8fa/asr" TargetMode="External"/><Relationship Id="rId19" Type="http://schemas.openxmlformats.org/officeDocument/2006/relationships/hyperlink" Target="https://e-seimas.lrs.lt/portal/legalAct/lt/TAD/fb998d32de3811e9a85be81119c7a8fa/asr" TargetMode="External"/><Relationship Id="rId4" Type="http://schemas.openxmlformats.org/officeDocument/2006/relationships/hyperlink" Target="https://e-seimas.lrs.lt/portal/legalAct/lt/TAD/fb998d32de3811e9a85be81119c7a8fa/asr" TargetMode="External"/><Relationship Id="rId9" Type="http://schemas.openxmlformats.org/officeDocument/2006/relationships/hyperlink" Target="https://e-seimas.lrs.lt/portal/legalAct/lt/TAD/fb998d32de3811e9a85be81119c7a8fa/asr" TargetMode="External"/><Relationship Id="rId14" Type="http://schemas.openxmlformats.org/officeDocument/2006/relationships/hyperlink" Target="https://e-seimas.lrs.lt/portal/legalAct/lt/TAD/fb998d32de3811e9a85be81119c7a8fa/asr" TargetMode="External"/><Relationship Id="rId22" Type="http://schemas.openxmlformats.org/officeDocument/2006/relationships/hyperlink" Target="https://e-seimas.lrs.lt/portal/legalAct/lt/TAD/fb998d32de3811e9a85be81119c7a8fa/asr" TargetMode="External"/><Relationship Id="rId27" Type="http://schemas.openxmlformats.org/officeDocument/2006/relationships/hyperlink" Target="https://e-seimas.lrs.lt/portal/legalAct/lt/TAD/fb998d32de3811e9a85be81119c7a8fa/as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6696</Words>
  <Characters>3818</Characters>
  <Application>Microsoft Office Word</Application>
  <DocSecurity>0</DocSecurity>
  <Lines>31</Lines>
  <Paragraphs>20</Paragraphs>
  <ScaleCrop>false</ScaleCrop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2024-03-15T09:19:00Z</dcterms:created>
  <dcterms:modified xsi:type="dcterms:W3CDTF">2024-03-15T09:20:00Z</dcterms:modified>
</cp:coreProperties>
</file>