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EE5F" w14:textId="77777777" w:rsidR="007B671C" w:rsidRPr="007B671C" w:rsidRDefault="007B671C" w:rsidP="007B671C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/>
          <w:b/>
          <w:bCs/>
          <w:noProof/>
          <w:kern w:val="0"/>
          <w:lang w:eastAsia="lt-LT"/>
          <w14:ligatures w14:val="none"/>
        </w:rPr>
      </w:pPr>
      <w:r w:rsidRPr="007B671C">
        <w:rPr>
          <w:rFonts w:eastAsia="Times New Roman"/>
          <w:b/>
          <w:bCs/>
          <w:noProof/>
          <w:kern w:val="0"/>
          <w:lang w:eastAsia="lt-LT"/>
          <w14:ligatures w14:val="none"/>
        </w:rPr>
        <w:t>GYVŪNŲ TINKAMUMO VEŽTI IR TRANSPORTO PRIEMONĖS ĮVERTINIMO KLAUSIMAI</w:t>
      </w:r>
    </w:p>
    <w:p w14:paraId="75B7B8EE" w14:textId="77777777" w:rsidR="007B671C" w:rsidRPr="007B671C" w:rsidRDefault="007B671C" w:rsidP="007B671C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noProof/>
          <w:kern w:val="0"/>
          <w:lang w:eastAsia="lt-LT"/>
          <w14:ligatures w14:val="none"/>
        </w:rPr>
      </w:pPr>
    </w:p>
    <w:p w14:paraId="243E7D92" w14:textId="77777777" w:rsidR="007B671C" w:rsidRPr="007B671C" w:rsidRDefault="007B671C" w:rsidP="007B671C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noProof/>
          <w:kern w:val="0"/>
          <w:lang w:eastAsia="lt-LT"/>
          <w14:ligatures w14:val="none"/>
        </w:rPr>
      </w:pPr>
    </w:p>
    <w:p w14:paraId="0C640E4D" w14:textId="77777777" w:rsidR="007B671C" w:rsidRPr="007B671C" w:rsidRDefault="007B671C" w:rsidP="007B671C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noProof/>
          <w:kern w:val="0"/>
          <w:lang w:eastAsia="lt-LT"/>
          <w14:ligatures w14:val="none"/>
        </w:rPr>
      </w:pPr>
    </w:p>
    <w:tbl>
      <w:tblPr>
        <w:tblpPr w:leftFromText="180" w:rightFromText="180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70"/>
        <w:gridCol w:w="1440"/>
        <w:gridCol w:w="2970"/>
      </w:tblGrid>
      <w:tr w:rsidR="007B671C" w:rsidRPr="007B671C" w14:paraId="53B7DB61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65A7" w14:textId="77777777" w:rsidR="007B671C" w:rsidRPr="007B671C" w:rsidRDefault="007B671C" w:rsidP="007B671C">
            <w:pPr>
              <w:spacing w:after="0" w:line="240" w:lineRule="auto"/>
              <w:ind w:right="-108" w:hanging="108"/>
              <w:jc w:val="center"/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  <w:t>Eil.</w:t>
            </w:r>
          </w:p>
          <w:p w14:paraId="1999B507" w14:textId="77777777" w:rsidR="007B671C" w:rsidRPr="007B671C" w:rsidRDefault="007B671C" w:rsidP="007B671C">
            <w:pPr>
              <w:spacing w:after="0" w:line="240" w:lineRule="auto"/>
              <w:ind w:right="-108" w:hanging="108"/>
              <w:jc w:val="center"/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  <w:t>Nr.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7CAC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  <w:t>Reikalavimai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B5FE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  <w:t>Taip / Ne /</w:t>
            </w:r>
          </w:p>
          <w:p w14:paraId="5F938D24" w14:textId="77777777" w:rsidR="007B671C" w:rsidRPr="007B671C" w:rsidRDefault="007B671C" w:rsidP="007B671C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  <w:t>Netikrinta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CF0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  <w:t>Pastabos</w:t>
            </w:r>
          </w:p>
        </w:tc>
      </w:tr>
      <w:tr w:rsidR="007B671C" w:rsidRPr="007B671C" w14:paraId="608B28C6" w14:textId="77777777" w:rsidTr="00A5021D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EA0F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  <w:t>TRANSPORTO PRIEMONĖ</w:t>
            </w:r>
          </w:p>
        </w:tc>
      </w:tr>
      <w:tr w:rsidR="007B671C" w:rsidRPr="007B671C" w14:paraId="24619BAC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2046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 xml:space="preserve">1.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104C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Ar prieš pakraunant gyvūnus transporto priemonė buvo tinkamai išvalyta, išdezinfekuota? </w:t>
            </w:r>
            <w:hyperlink r:id="rId5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I priedo II skyriaus 1.1 dalis c punktas, </w:t>
            </w:r>
            <w:hyperlink r:id="rId6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[2]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IV skyrius.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F88B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A89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2AA62F2A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EE46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D6A2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Ar transporto priemonės yra sunkonstruotos taip, kad gyvūnai nesusižeistų, būtų apsaugoti nuo kančių, </w:t>
            </w: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>atšiauraus oro, ekstremalių temperatūrų ir nepalankių klimato pokyčių,</w:t>
            </w:r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pabėgimo, iškritimo? </w:t>
            </w:r>
            <w:hyperlink r:id="rId7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I priedo II skyriaus 1.1 (a), (b) ir (d) punktai.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F193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5D75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1B3609DB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3A0C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A565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Ar transporto priemonė yra sukonstruota taip, kad gyvūnus būtų galima pasiekti, norint juos apžiūrėti ar pasirūpinti, ar yra pakankamai apšvietimo priemonių gyvūnų apžiūrai ir patikrinimui vežimo metu? </w:t>
            </w:r>
            <w:hyperlink r:id="rId8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 xml:space="preserve"> </w:t>
            </w:r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>I priedo II skyriaus 1.1 (f) ir (i) punktai.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EA8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15B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244A2ACD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CB89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A5B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 xml:space="preserve">Ar transporto priemonėje įrengtos tinkamos pertvaros? </w:t>
            </w:r>
            <w:hyperlink r:id="rId9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I priedo II skyriaus 1.4 punktas; I priedo VI skyriaus 1.7, 1.8 punktai.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18C1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90D5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74A20A5D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B1C5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5.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AE5C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 xml:space="preserve">Ar transporto priemonės grindų paviršius neslidus, iki minimumo sumažina prasisunkiančio šlapimo ir išmatų kiekį? </w:t>
            </w:r>
            <w:hyperlink r:id="rId10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 xml:space="preserve"> </w:t>
            </w:r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I priedo II skyriaus 1.1 (g) ir (h) punktai.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A017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73B1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17E4E5AB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936A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0647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 xml:space="preserve">Ar transporto priemonėje yra pakankama ventiliacija? </w:t>
            </w:r>
            <w:hyperlink r:id="rId11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I priedo II skyriaus 1.1 (e) punktas ir I priedo III skyriaus 2.6 punktas.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912F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852D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7B60CDD6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8E30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7.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A2B3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 xml:space="preserve">Ar vežamiems paršeliams, ėriukams, veršeliams ir kumeliukams pakreikta atitinkamų pakratų? </w:t>
            </w:r>
            <w:hyperlink r:id="rId12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I priedo II skyriaus 1.5 punktas.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9001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748B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0B908863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86AC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8.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F1B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 xml:space="preserve">Ar transporto priemonėje yra tinkama  pakrovimo ir iškrovimo įranga? </w:t>
            </w:r>
            <w:hyperlink r:id="rId13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3 straipsnio d punktas, I priedo II skyriaus 2.2 punktas, I priedo  III skyriaus 1.3 ir 1.4 punktai.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7ADC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FAB4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25CDE7EE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02E6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9.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0F97" w14:textId="77777777" w:rsidR="007B671C" w:rsidRPr="007B671C" w:rsidRDefault="007B671C" w:rsidP="007B671C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eastAsia="Times New Roman"/>
                <w:noProof/>
                <w:kern w:val="0"/>
                <w:lang w:eastAsia="lt-LT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lt-LT"/>
                <w14:ligatures w14:val="none"/>
              </w:rPr>
              <w:t>Ar transporto priemonė pažymėta aiškiu užrašu</w:t>
            </w: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 xml:space="preserve"> ar ženklais, nurodančiais, kad vežami gyvi gyvūnai? </w:t>
            </w:r>
            <w:hyperlink r:id="rId14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lt-LT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lt-LT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>I priedo II skyriaus 2.1 punktas.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EC1F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A0E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379A5045" w14:textId="77777777" w:rsidTr="00A5021D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5BD1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  <w:t>GYVŪNŲ TINKAMUMAS VEŽIMUI IR ELGESYS SU GYVŪNAIS</w:t>
            </w:r>
          </w:p>
        </w:tc>
      </w:tr>
      <w:tr w:rsidR="007B671C" w:rsidRPr="007B671C" w14:paraId="7A294E9A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3DC2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10.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1B63" w14:textId="77777777" w:rsidR="007B671C" w:rsidRPr="007B671C" w:rsidRDefault="007B671C" w:rsidP="007B671C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eastAsia="Times New Roman"/>
                <w:noProof/>
                <w:kern w:val="0"/>
                <w:lang w:eastAsia="lt-LT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lt-LT"/>
                <w14:ligatures w14:val="none"/>
              </w:rPr>
              <w:t xml:space="preserve">Ar gyvūnai tinkami vežti? </w:t>
            </w:r>
            <w:hyperlink r:id="rId15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lt-LT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lt-LT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>3 straipsnio b punktas, I priedo I skyrius, VI skyriaus 1.9 punktas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B9F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79E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03A3F9BD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71B8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11.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586A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 xml:space="preserve">Ar vežimo metu gyvūnams (pagal rūšį) užtikrinamas reikalingas plotas ir  aukštis? </w:t>
            </w:r>
            <w:hyperlink r:id="rId16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3 straipsnio (g) punktas, I priedo II skyriaus 1.2 punktas, I priedo VII skyrius.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B9AC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A2F8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58B7B24C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2B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12.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CFA" w14:textId="77777777" w:rsidR="007B671C" w:rsidRPr="007B671C" w:rsidRDefault="007B671C" w:rsidP="007B67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kern w:val="0"/>
                <w:lang w:eastAsia="lt-LT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lt-LT"/>
                <w14:ligatures w14:val="none"/>
              </w:rPr>
              <w:t xml:space="preserve">Ar tinkamai elgiamasi su gyvūnais, personalas nenaudoja priemonių, kurios sukelia stresą ar traumas? </w:t>
            </w:r>
            <w:hyperlink r:id="rId17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lt-LT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lt-LT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>3 straipsnio e punktas, I priedo III skyriaus 1.8-1.11 punktai.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45FD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C94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Atžymima, jei valstybinis veterinarijos inspektorius dalyvauja pakrovimo metu</w:t>
            </w:r>
          </w:p>
        </w:tc>
      </w:tr>
      <w:tr w:rsidR="007B671C" w:rsidRPr="007B671C" w14:paraId="3880AEB4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E0DB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13.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03D5" w14:textId="77777777" w:rsidR="007B671C" w:rsidRPr="007B671C" w:rsidRDefault="007B671C" w:rsidP="007B671C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eastAsia="Times New Roman"/>
                <w:noProof/>
                <w:kern w:val="0"/>
                <w:lang w:eastAsia="lt-LT"/>
                <w14:ligatures w14:val="none"/>
              </w:rPr>
            </w:pP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 xml:space="preserve">Ar užtikrinamas tinkamas gyvūnų atskyrimas vežimo metu? </w:t>
            </w:r>
            <w:hyperlink r:id="rId18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lt-LT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lt-LT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>I priedo  III skyriaus 1.12, 1.13 ir 2.4 punktai.</w:t>
            </w:r>
          </w:p>
          <w:p w14:paraId="2579C6CA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0701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01C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Atžymima, jei valstybinis veterinarijos inspektorius dalyvauja pakrovimo metu</w:t>
            </w:r>
          </w:p>
        </w:tc>
      </w:tr>
      <w:tr w:rsidR="007B671C" w:rsidRPr="007B671C" w14:paraId="10BCF55A" w14:textId="77777777" w:rsidTr="00A5021D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0509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b/>
                <w:noProof/>
                <w:color w:val="000000"/>
                <w:kern w:val="0"/>
                <w:lang w:eastAsia="nl-NL"/>
                <w14:ligatures w14:val="none"/>
              </w:rPr>
              <w:t>PAPILDOMI REIKALAVIMAI TRANSPORTO PRIEMONEI, KURIA VEŽAMI GYVŪNAI ILGŲ GYVŪNŲ KELIONIŲ METU</w:t>
            </w:r>
          </w:p>
        </w:tc>
      </w:tr>
      <w:tr w:rsidR="007B671C" w:rsidRPr="007B671C" w14:paraId="5BB3D682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3152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14.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F666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 xml:space="preserve">Ar transporto priemonėje yra veikianti, tinkama vėdinimo sistema ir temperatūros kontrolės įranga, temperatūros kontrolės duomenų registravimo įrenginys, vairuotojo perspėjimo sistema? </w:t>
            </w:r>
            <w:hyperlink r:id="rId19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>I priedo VI skyriaus 3.1-3.4 punktai.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7833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1DD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069A6D4C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105F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15.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C981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 xml:space="preserve">Ar transporto priemonės stogas yra šviesios spalvos, pakankamai izoliuotas? </w:t>
            </w:r>
            <w:hyperlink r:id="rId20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>I priedo VI skyriaus 1.1 punktas.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E28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BA3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212764C1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F1C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16.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AF59" w14:textId="77777777" w:rsidR="007B671C" w:rsidRPr="007B671C" w:rsidRDefault="007B671C" w:rsidP="007B671C">
            <w:p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 xml:space="preserve">Ar transporto priemonėje yra girdymo įranga, atitinkanti vežamos gyvūnų rūšies reikalavimus ir pakanka vandens? </w:t>
            </w:r>
            <w:hyperlink r:id="rId21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lt-LT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lt-LT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>3 straipsnio (h) punktas, I priedo VI skyriaus 2 punktas.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BA6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A944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5503140D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BCA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17.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FC1" w14:textId="77777777" w:rsidR="007B671C" w:rsidRPr="007B671C" w:rsidRDefault="007B671C" w:rsidP="007B67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kern w:val="0"/>
                <w:lang w:eastAsia="lt-LT"/>
                <w14:ligatures w14:val="none"/>
              </w:rPr>
            </w:pP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 xml:space="preserve">Ar transporto priemonėje yra reikiama šėrimo įranga, pašarų atsargos? </w:t>
            </w:r>
            <w:hyperlink r:id="rId22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lt-LT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lt-LT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>3 straipsnio (h) punktas, I priedo VI skyriaus 1.3-1.5 punktai.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431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06EB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28AD01C8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16C7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18.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CB41" w14:textId="77777777" w:rsidR="007B671C" w:rsidRPr="007B671C" w:rsidRDefault="007B671C" w:rsidP="007B671C">
            <w:p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kern w:val="0"/>
                <w:lang w:eastAsia="lt-LT"/>
                <w14:ligatures w14:val="none"/>
              </w:rPr>
            </w:pP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 xml:space="preserve">Ar transporto priemonėje pakankamas pakratų (ar kitos jiems lygiavertės medžiagos) kiekis? </w:t>
            </w:r>
            <w:hyperlink r:id="rId23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lt-LT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lt-LT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>I priedo VI skyriaus 1.2 punktas.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32F0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EF1C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1030BABE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0BD5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19.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AA5E" w14:textId="77777777" w:rsidR="007B671C" w:rsidRPr="007B671C" w:rsidRDefault="007B671C" w:rsidP="007B671C">
            <w:p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kern w:val="0"/>
                <w:lang w:eastAsia="lt-LT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lt-LT"/>
                <w14:ligatures w14:val="none"/>
              </w:rPr>
              <w:t xml:space="preserve">Ar be motinų vežami gyvūnų jaunikliai yra pasiekę tam reikalingą amžių? </w:t>
            </w:r>
            <w:hyperlink r:id="rId24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lt-LT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lt-LT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>I priedo VI skyriaus 1.9 punktas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B6A3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091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62EFBB64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CA1D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20.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9221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 xml:space="preserve">Ar arklinių šeimos gyvūnai vežami atskiruose garduose? </w:t>
            </w:r>
            <w:hyperlink r:id="rId25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>I priedo VI skyriaus 1.6-1.8 punktai.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BC6D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8387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37C42704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D401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21.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FAB0" w14:textId="77777777" w:rsidR="007B671C" w:rsidRPr="007B671C" w:rsidRDefault="007B671C" w:rsidP="007B671C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eastAsia="Times New Roman"/>
                <w:noProof/>
                <w:kern w:val="0"/>
                <w:lang w:eastAsia="lt-LT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lt-LT"/>
                <w14:ligatures w14:val="none"/>
              </w:rPr>
              <w:t xml:space="preserve">Ar transporto priemonėje yra veikianti navigacijos sistema? </w:t>
            </w:r>
            <w:hyperlink r:id="rId26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lt-LT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lt-LT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lt-LT"/>
                <w14:ligatures w14:val="none"/>
              </w:rPr>
              <w:t>6 straipsnio 9 dalis, I priedo VI skyriaus 4.1 punktas.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00FC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596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3EE03882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9107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22.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ABD0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Ar yra neatidėliotinų priemonių planas ir priemonės nenumatytiems atvejams?</w:t>
            </w:r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</w:t>
            </w:r>
            <w:hyperlink r:id="rId27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>11 straipsnio 1 dalies (iv) punktas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FE30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570B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7B671C" w:rsidRPr="007B671C" w14:paraId="4F6A3164" w14:textId="77777777" w:rsidTr="00A502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A247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23.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4978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  <w:r w:rsidRPr="007B671C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t>Ar transporto priemonė arklinių šeimos gyvūnų vežimui turi ne daugiau kaip vieną tinkamai įrengtą platformą ir gardus su tvirtomis pertvaromis?</w:t>
            </w:r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</w:t>
            </w:r>
            <w:hyperlink r:id="rId28" w:history="1">
              <w:r w:rsidRPr="007B671C">
                <w:rPr>
                  <w:rFonts w:eastAsia="Times New Roman"/>
                  <w:bCs/>
                  <w:noProof/>
                  <w:color w:val="0000FF"/>
                  <w:kern w:val="0"/>
                  <w:u w:val="single"/>
                  <w:lang w:eastAsia="nl-NL"/>
                  <w14:ligatures w14:val="none"/>
                </w:rPr>
                <w:t>[1]</w:t>
              </w:r>
            </w:hyperlink>
            <w:r w:rsidRPr="007B671C">
              <w:rPr>
                <w:rFonts w:eastAsia="Times New Roman"/>
                <w:bCs/>
                <w:noProof/>
                <w:kern w:val="0"/>
                <w:lang w:eastAsia="nl-NL"/>
                <w14:ligatures w14:val="none"/>
              </w:rPr>
              <w:t xml:space="preserve"> </w:t>
            </w:r>
            <w:r w:rsidRPr="007B671C">
              <w:rPr>
                <w:rFonts w:eastAsia="Times New Roman"/>
                <w:noProof/>
                <w:kern w:val="0"/>
                <w:lang w:eastAsia="nl-NL"/>
                <w14:ligatures w14:val="none"/>
              </w:rPr>
              <w:t>I priedo III skyriaus 2.3 punktas.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6BF7" w14:textId="77777777" w:rsidR="007B671C" w:rsidRPr="007B671C" w:rsidRDefault="007B671C" w:rsidP="007B671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C7CF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  <w:p w14:paraId="3ED12B50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  <w:p w14:paraId="7977711A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  <w:p w14:paraId="763AF8DD" w14:textId="77777777" w:rsidR="007B671C" w:rsidRPr="007B671C" w:rsidRDefault="007B671C" w:rsidP="007B671C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</w:pPr>
          </w:p>
        </w:tc>
      </w:tr>
    </w:tbl>
    <w:p w14:paraId="37F5B3F4" w14:textId="77777777" w:rsidR="007B671C" w:rsidRPr="007B671C" w:rsidRDefault="007B671C" w:rsidP="007B671C">
      <w:pPr>
        <w:spacing w:after="0" w:line="240" w:lineRule="auto"/>
        <w:rPr>
          <w:rFonts w:eastAsia="Times New Roman"/>
          <w:noProof/>
          <w:kern w:val="0"/>
          <w:lang w:eastAsia="nl-NL"/>
          <w14:ligatures w14:val="none"/>
        </w:rPr>
      </w:pPr>
    </w:p>
    <w:p w14:paraId="68055D52" w14:textId="77777777" w:rsidR="007B671C" w:rsidRPr="007B671C" w:rsidRDefault="007B671C" w:rsidP="007B671C">
      <w:pPr>
        <w:spacing w:after="0" w:line="240" w:lineRule="auto"/>
        <w:jc w:val="both"/>
        <w:rPr>
          <w:rFonts w:eastAsia="Times New Roman"/>
          <w:b/>
          <w:noProof/>
          <w:kern w:val="0"/>
          <w14:ligatures w14:val="none"/>
        </w:rPr>
      </w:pPr>
      <w:bookmarkStart w:id="0" w:name="_Hlk160701883"/>
      <w:r w:rsidRPr="007B671C">
        <w:rPr>
          <w:rFonts w:eastAsia="Times New Roman"/>
          <w:b/>
          <w:noProof/>
          <w:kern w:val="0"/>
          <w14:ligatures w14:val="none"/>
        </w:rPr>
        <w:t>Teisės aktų pagal kuriuos atliekamas reikalavimo atitikties įvertinimas sąrašas:</w:t>
      </w:r>
    </w:p>
    <w:bookmarkEnd w:id="0"/>
    <w:p w14:paraId="30DA1025" w14:textId="77777777" w:rsidR="007B671C" w:rsidRPr="007B671C" w:rsidRDefault="007B671C" w:rsidP="007B671C">
      <w:pPr>
        <w:spacing w:after="0" w:line="240" w:lineRule="auto"/>
        <w:rPr>
          <w:rFonts w:eastAsia="Times New Roman"/>
          <w:noProof/>
          <w:kern w:val="0"/>
          <w:lang w:eastAsia="nl-NL"/>
          <w14:ligatures w14:val="none"/>
        </w:rPr>
      </w:pPr>
    </w:p>
    <w:p w14:paraId="38AA30DC" w14:textId="77777777" w:rsidR="007B671C" w:rsidRPr="007B671C" w:rsidRDefault="007B671C" w:rsidP="007B671C">
      <w:pPr>
        <w:autoSpaceDE w:val="0"/>
        <w:autoSpaceDN w:val="0"/>
        <w:adjustRightInd w:val="0"/>
        <w:spacing w:after="0" w:line="240" w:lineRule="auto"/>
        <w:ind w:left="5"/>
        <w:jc w:val="both"/>
        <w:rPr>
          <w:rFonts w:eastAsia="Times New Roman"/>
          <w:bCs/>
          <w:noProof/>
          <w:kern w:val="0"/>
          <w:sz w:val="22"/>
          <w:szCs w:val="22"/>
          <w:lang w:eastAsia="lt-LT"/>
          <w14:ligatures w14:val="none"/>
        </w:rPr>
      </w:pPr>
      <w:r w:rsidRPr="007B671C">
        <w:rPr>
          <w:rFonts w:eastAsia="Times New Roman"/>
          <w:noProof/>
          <w:kern w:val="0"/>
          <w:lang w:eastAsia="lt-LT"/>
          <w14:ligatures w14:val="none"/>
        </w:rPr>
        <w:t xml:space="preserve">[1] </w:t>
      </w:r>
      <w:r w:rsidRPr="007B671C">
        <w:rPr>
          <w:rFonts w:eastAsia="Times New Roman"/>
          <w:bCs/>
          <w:noProof/>
          <w:kern w:val="0"/>
          <w:sz w:val="22"/>
          <w:szCs w:val="22"/>
          <w:lang w:eastAsia="lt-LT"/>
          <w14:ligatures w14:val="none"/>
        </w:rPr>
        <w:t>2004 m. gruodžio 22 d. Tarybos reglamentas (EB) Nr.</w:t>
      </w:r>
      <w:r w:rsidRPr="007B671C" w:rsidDel="00E431A9">
        <w:rPr>
          <w:rFonts w:eastAsia="Times New Roman"/>
          <w:bCs/>
          <w:noProof/>
          <w:kern w:val="0"/>
          <w:sz w:val="22"/>
          <w:szCs w:val="22"/>
          <w:lang w:eastAsia="lt-LT"/>
          <w14:ligatures w14:val="none"/>
        </w:rPr>
        <w:t xml:space="preserve"> </w:t>
      </w:r>
      <w:r w:rsidRPr="007B671C">
        <w:rPr>
          <w:rFonts w:eastAsia="Times New Roman"/>
          <w:bCs/>
          <w:noProof/>
          <w:kern w:val="0"/>
          <w:sz w:val="22"/>
          <w:szCs w:val="22"/>
          <w:lang w:eastAsia="lt-LT"/>
          <w14:ligatures w14:val="none"/>
        </w:rPr>
        <w:t>1/2005 dėl gyvūnų apsaugos juos vežant ir atliekant susijusias operacijas, ir iš dalies keičiantis direktyvas 64/432/EEB ir 93/119/EB ir reglamentą (EB) Nr. 1255/97.</w:t>
      </w:r>
    </w:p>
    <w:p w14:paraId="74214475" w14:textId="77777777" w:rsidR="007B671C" w:rsidRPr="007B671C" w:rsidRDefault="007B671C" w:rsidP="007B671C">
      <w:pPr>
        <w:spacing w:after="0" w:line="240" w:lineRule="auto"/>
        <w:rPr>
          <w:rFonts w:eastAsia="Times New Roman"/>
          <w:noProof/>
          <w:kern w:val="0"/>
          <w:lang w:eastAsia="nl-NL"/>
          <w14:ligatures w14:val="none"/>
        </w:rPr>
      </w:pPr>
    </w:p>
    <w:p w14:paraId="3B4C22DB" w14:textId="77777777" w:rsidR="007B671C" w:rsidRPr="007B671C" w:rsidRDefault="007B671C" w:rsidP="007B671C">
      <w:pPr>
        <w:spacing w:after="0" w:line="240" w:lineRule="auto"/>
        <w:rPr>
          <w:rFonts w:eastAsia="Times New Roman"/>
          <w:noProof/>
          <w:kern w:val="0"/>
          <w:lang w:eastAsia="nl-NL"/>
          <w14:ligatures w14:val="none"/>
        </w:rPr>
      </w:pPr>
    </w:p>
    <w:p w14:paraId="72E20A31" w14:textId="77777777" w:rsidR="007B671C" w:rsidRPr="007B671C" w:rsidRDefault="007B671C" w:rsidP="007B671C">
      <w:pPr>
        <w:spacing w:after="0" w:line="240" w:lineRule="auto"/>
        <w:jc w:val="center"/>
        <w:rPr>
          <w:rFonts w:eastAsia="Times New Roman"/>
          <w:noProof/>
          <w:kern w:val="0"/>
          <w:lang w:eastAsia="nl-NL"/>
          <w14:ligatures w14:val="none"/>
        </w:rPr>
      </w:pPr>
      <w:r w:rsidRPr="007B671C">
        <w:rPr>
          <w:rFonts w:eastAsia="Times New Roman"/>
          <w:noProof/>
          <w:kern w:val="0"/>
          <w:lang w:eastAsia="nl-NL"/>
          <w14:ligatures w14:val="none"/>
        </w:rPr>
        <w:t>_________________</w:t>
      </w:r>
    </w:p>
    <w:p w14:paraId="6E496691" w14:textId="77777777" w:rsidR="00975976" w:rsidRDefault="00975976"/>
    <w:sectPr w:rsidR="009759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E5F"/>
    <w:multiLevelType w:val="hybridMultilevel"/>
    <w:tmpl w:val="9E44392E"/>
    <w:lvl w:ilvl="0" w:tplc="27E02BFE">
      <w:start w:val="1"/>
      <w:numFmt w:val="decimal"/>
      <w:lvlText w:val="%1."/>
      <w:lvlJc w:val="left"/>
      <w:pPr>
        <w:ind w:left="1440" w:hanging="360"/>
      </w:pPr>
    </w:lvl>
    <w:lvl w:ilvl="1" w:tplc="3D94C492">
      <w:start w:val="1"/>
      <w:numFmt w:val="decimal"/>
      <w:lvlText w:val="%2."/>
      <w:lvlJc w:val="left"/>
      <w:pPr>
        <w:ind w:left="1440" w:hanging="360"/>
      </w:pPr>
    </w:lvl>
    <w:lvl w:ilvl="2" w:tplc="8E1435A6">
      <w:start w:val="1"/>
      <w:numFmt w:val="decimal"/>
      <w:lvlText w:val="%3."/>
      <w:lvlJc w:val="left"/>
      <w:pPr>
        <w:ind w:left="1440" w:hanging="360"/>
      </w:pPr>
    </w:lvl>
    <w:lvl w:ilvl="3" w:tplc="88D037D6">
      <w:start w:val="1"/>
      <w:numFmt w:val="decimal"/>
      <w:lvlText w:val="%4."/>
      <w:lvlJc w:val="left"/>
      <w:pPr>
        <w:ind w:left="1440" w:hanging="360"/>
      </w:pPr>
    </w:lvl>
    <w:lvl w:ilvl="4" w:tplc="649AEA2E">
      <w:start w:val="1"/>
      <w:numFmt w:val="decimal"/>
      <w:lvlText w:val="%5."/>
      <w:lvlJc w:val="left"/>
      <w:pPr>
        <w:ind w:left="1440" w:hanging="360"/>
      </w:pPr>
    </w:lvl>
    <w:lvl w:ilvl="5" w:tplc="7312E71A">
      <w:start w:val="1"/>
      <w:numFmt w:val="decimal"/>
      <w:lvlText w:val="%6."/>
      <w:lvlJc w:val="left"/>
      <w:pPr>
        <w:ind w:left="1440" w:hanging="360"/>
      </w:pPr>
    </w:lvl>
    <w:lvl w:ilvl="6" w:tplc="85360BDC">
      <w:start w:val="1"/>
      <w:numFmt w:val="decimal"/>
      <w:lvlText w:val="%7."/>
      <w:lvlJc w:val="left"/>
      <w:pPr>
        <w:ind w:left="1440" w:hanging="360"/>
      </w:pPr>
    </w:lvl>
    <w:lvl w:ilvl="7" w:tplc="64581730">
      <w:start w:val="1"/>
      <w:numFmt w:val="decimal"/>
      <w:lvlText w:val="%8."/>
      <w:lvlJc w:val="left"/>
      <w:pPr>
        <w:ind w:left="1440" w:hanging="360"/>
      </w:pPr>
    </w:lvl>
    <w:lvl w:ilvl="8" w:tplc="DEF04CF0">
      <w:start w:val="1"/>
      <w:numFmt w:val="decimal"/>
      <w:lvlText w:val="%9."/>
      <w:lvlJc w:val="left"/>
      <w:pPr>
        <w:ind w:left="1440" w:hanging="360"/>
      </w:pPr>
    </w:lvl>
  </w:abstractNum>
  <w:num w:numId="1" w16cid:durableId="201282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1C"/>
    <w:rsid w:val="00080F29"/>
    <w:rsid w:val="00376B30"/>
    <w:rsid w:val="007B671C"/>
    <w:rsid w:val="00975976"/>
    <w:rsid w:val="00981635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F7056"/>
  <w15:chartTrackingRefBased/>
  <w15:docId w15:val="{A0CFA464-EDD0-4801-8B80-CF03F961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7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7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7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7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7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7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7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7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7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7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7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7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7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7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71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rsid w:val="007B67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671C"/>
    <w:pPr>
      <w:spacing w:after="0" w:line="240" w:lineRule="auto"/>
    </w:pPr>
    <w:rPr>
      <w:rFonts w:ascii="Univers" w:eastAsia="Times New Roman" w:hAnsi="Univers"/>
      <w:kern w:val="0"/>
      <w:sz w:val="20"/>
      <w:szCs w:val="20"/>
      <w:lang w:eastAsia="nl-NL"/>
    </w:rPr>
  </w:style>
  <w:style w:type="character" w:customStyle="1" w:styleId="CommentTextChar">
    <w:name w:val="Comment Text Char"/>
    <w:basedOn w:val="DefaultParagraphFont"/>
    <w:link w:val="CommentText"/>
    <w:rsid w:val="007B671C"/>
    <w:rPr>
      <w:rFonts w:ascii="Univers" w:eastAsia="Times New Roman" w:hAnsi="Univers"/>
      <w:kern w:val="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ALL/?uri=celex%3A32005R0001" TargetMode="External"/><Relationship Id="rId13" Type="http://schemas.openxmlformats.org/officeDocument/2006/relationships/hyperlink" Target="https://eur-lex.europa.eu/legal-content/LT/ALL/?uri=celex%3A32005R0001" TargetMode="External"/><Relationship Id="rId18" Type="http://schemas.openxmlformats.org/officeDocument/2006/relationships/hyperlink" Target="https://eur-lex.europa.eu/legal-content/LT/ALL/?uri=celex%3A32005R0001" TargetMode="External"/><Relationship Id="rId26" Type="http://schemas.openxmlformats.org/officeDocument/2006/relationships/hyperlink" Target="https://eur-lex.europa.eu/legal-content/LT/ALL/?uri=celex%3A32005R00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LT/ALL/?uri=celex%3A32005R0001" TargetMode="External"/><Relationship Id="rId7" Type="http://schemas.openxmlformats.org/officeDocument/2006/relationships/hyperlink" Target="https://eur-lex.europa.eu/legal-content/LT/ALL/?uri=celex%3A32005R0001" TargetMode="External"/><Relationship Id="rId12" Type="http://schemas.openxmlformats.org/officeDocument/2006/relationships/hyperlink" Target="https://eur-lex.europa.eu/legal-content/LT/ALL/?uri=celex%3A32005R0001" TargetMode="External"/><Relationship Id="rId17" Type="http://schemas.openxmlformats.org/officeDocument/2006/relationships/hyperlink" Target="https://eur-lex.europa.eu/legal-content/LT/ALL/?uri=celex%3A32005R0001" TargetMode="External"/><Relationship Id="rId25" Type="http://schemas.openxmlformats.org/officeDocument/2006/relationships/hyperlink" Target="https://eur-lex.europa.eu/legal-content/LT/ALL/?uri=celex%3A32005R00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LT/ALL/?uri=celex%3A32005R0001" TargetMode="External"/><Relationship Id="rId20" Type="http://schemas.openxmlformats.org/officeDocument/2006/relationships/hyperlink" Target="https://eur-lex.europa.eu/legal-content/LT/ALL/?uri=celex%3A32005R000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-seimas.lrs.lt/portal/legalAct/lt/TAD/dc636f80b82e11e7967a9645b537eb05?jfwid=f842crj3p" TargetMode="External"/><Relationship Id="rId11" Type="http://schemas.openxmlformats.org/officeDocument/2006/relationships/hyperlink" Target="https://eur-lex.europa.eu/legal-content/LT/ALL/?uri=celex%3A32005R0001" TargetMode="External"/><Relationship Id="rId24" Type="http://schemas.openxmlformats.org/officeDocument/2006/relationships/hyperlink" Target="https://eur-lex.europa.eu/legal-content/LT/ALL/?uri=celex%3A32005R0001" TargetMode="External"/><Relationship Id="rId5" Type="http://schemas.openxmlformats.org/officeDocument/2006/relationships/hyperlink" Target="https://eur-lex.europa.eu/legal-content/LT/ALL/?uri=celex%3A32005R0001" TargetMode="External"/><Relationship Id="rId15" Type="http://schemas.openxmlformats.org/officeDocument/2006/relationships/hyperlink" Target="https://eur-lex.europa.eu/legal-content/LT/ALL/?uri=celex%3A32005R0001" TargetMode="External"/><Relationship Id="rId23" Type="http://schemas.openxmlformats.org/officeDocument/2006/relationships/hyperlink" Target="https://eur-lex.europa.eu/legal-content/LT/ALL/?uri=celex%3A32005R0001" TargetMode="External"/><Relationship Id="rId28" Type="http://schemas.openxmlformats.org/officeDocument/2006/relationships/hyperlink" Target="https://eur-lex.europa.eu/legal-content/LT/ALL/?uri=celex%3A32005R0001" TargetMode="External"/><Relationship Id="rId10" Type="http://schemas.openxmlformats.org/officeDocument/2006/relationships/hyperlink" Target="https://eur-lex.europa.eu/legal-content/LT/ALL/?uri=celex%3A32005R0001" TargetMode="External"/><Relationship Id="rId19" Type="http://schemas.openxmlformats.org/officeDocument/2006/relationships/hyperlink" Target="https://eur-lex.europa.eu/legal-content/LT/ALL/?uri=celex%3A32005R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ALL/?uri=celex%3A32005R0001" TargetMode="External"/><Relationship Id="rId14" Type="http://schemas.openxmlformats.org/officeDocument/2006/relationships/hyperlink" Target="https://eur-lex.europa.eu/legal-content/LT/ALL/?uri=celex%3A32005R0001" TargetMode="External"/><Relationship Id="rId22" Type="http://schemas.openxmlformats.org/officeDocument/2006/relationships/hyperlink" Target="https://eur-lex.europa.eu/legal-content/LT/ALL/?uri=celex%3A32005R0001" TargetMode="External"/><Relationship Id="rId27" Type="http://schemas.openxmlformats.org/officeDocument/2006/relationships/hyperlink" Target="https://eur-lex.europa.eu/legal-content/LT/ALL/?uri=celex%3A32005R000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4129</Words>
  <Characters>2354</Characters>
  <Application>Microsoft Office Word</Application>
  <DocSecurity>0</DocSecurity>
  <Lines>19</Lines>
  <Paragraphs>12</Paragraphs>
  <ScaleCrop>false</ScaleCrop>
  <Company>VMVT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Žalys</dc:creator>
  <cp:keywords/>
  <dc:description/>
  <cp:lastModifiedBy>Ramūnas Žalys</cp:lastModifiedBy>
  <cp:revision>1</cp:revision>
  <dcterms:created xsi:type="dcterms:W3CDTF">2025-12-18T09:13:00Z</dcterms:created>
  <dcterms:modified xsi:type="dcterms:W3CDTF">2025-12-18T09:15:00Z</dcterms:modified>
</cp:coreProperties>
</file>