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5D027" w14:textId="10C053B5" w:rsidR="00465AE9" w:rsidRDefault="00465AE9" w:rsidP="00E7442D">
      <w:pPr>
        <w:jc w:val="center"/>
      </w:pPr>
      <w:r>
        <w:rPr>
          <w:rFonts w:ascii="Axiforma" w:hAnsi="Axiforma"/>
          <w:noProof/>
          <w:color w:val="1F3864"/>
          <w:sz w:val="24"/>
          <w:szCs w:val="24"/>
          <w:lang w:val="en-US"/>
        </w:rPr>
        <w:drawing>
          <wp:inline distT="0" distB="0" distL="0" distR="0" wp14:anchorId="28EB59F7" wp14:editId="363896C5">
            <wp:extent cx="2072640" cy="767644"/>
            <wp:effectExtent l="0" t="0" r="3810" b="0"/>
            <wp:docPr id="1962211373"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86123" cy="772638"/>
                    </a:xfrm>
                    <a:prstGeom prst="rect">
                      <a:avLst/>
                    </a:prstGeom>
                    <a:noFill/>
                    <a:ln>
                      <a:noFill/>
                    </a:ln>
                  </pic:spPr>
                </pic:pic>
              </a:graphicData>
            </a:graphic>
          </wp:inline>
        </w:drawing>
      </w:r>
    </w:p>
    <w:p w14:paraId="1B5F4D2A" w14:textId="77777777" w:rsidR="00465AE9" w:rsidRPr="004B2ADA" w:rsidRDefault="00465AE9">
      <w:pPr>
        <w:rPr>
          <w:sz w:val="28"/>
          <w:szCs w:val="28"/>
        </w:rPr>
      </w:pPr>
    </w:p>
    <w:p w14:paraId="46B12C30" w14:textId="77777777" w:rsidR="0046457F" w:rsidRPr="004B2ADA" w:rsidRDefault="0046457F">
      <w:pPr>
        <w:rPr>
          <w:rFonts w:ascii="Times New Roman" w:hAnsi="Times New Roman" w:cs="Times New Roman"/>
          <w:sz w:val="28"/>
          <w:szCs w:val="28"/>
        </w:rPr>
      </w:pPr>
    </w:p>
    <w:p w14:paraId="5483D3F2" w14:textId="77777777" w:rsidR="002D65E7" w:rsidRPr="004B2ADA" w:rsidRDefault="002D65E7">
      <w:pPr>
        <w:rPr>
          <w:rFonts w:ascii="Times New Roman" w:hAnsi="Times New Roman" w:cs="Times New Roman"/>
          <w:sz w:val="28"/>
          <w:szCs w:val="28"/>
        </w:rPr>
      </w:pPr>
    </w:p>
    <w:p w14:paraId="0DB2DF4E" w14:textId="77777777" w:rsidR="0046457F" w:rsidRPr="004B2ADA" w:rsidRDefault="0046457F">
      <w:pPr>
        <w:rPr>
          <w:rFonts w:ascii="Times New Roman" w:hAnsi="Times New Roman" w:cs="Times New Roman"/>
          <w:sz w:val="28"/>
          <w:szCs w:val="28"/>
        </w:rPr>
      </w:pPr>
    </w:p>
    <w:p w14:paraId="42EDA9D0" w14:textId="77777777" w:rsidR="0046457F" w:rsidRPr="004B2ADA" w:rsidRDefault="0046457F">
      <w:pPr>
        <w:rPr>
          <w:rFonts w:ascii="Times New Roman" w:hAnsi="Times New Roman" w:cs="Times New Roman"/>
          <w:sz w:val="28"/>
          <w:szCs w:val="28"/>
        </w:rPr>
      </w:pPr>
    </w:p>
    <w:p w14:paraId="3711236F" w14:textId="77777777" w:rsidR="0046457F" w:rsidRPr="004B2ADA" w:rsidRDefault="0046457F">
      <w:pPr>
        <w:rPr>
          <w:rFonts w:ascii="Times New Roman" w:hAnsi="Times New Roman" w:cs="Times New Roman"/>
          <w:sz w:val="28"/>
          <w:szCs w:val="28"/>
        </w:rPr>
      </w:pPr>
    </w:p>
    <w:p w14:paraId="56C4552F" w14:textId="77777777" w:rsidR="0046457F" w:rsidRPr="004B2ADA" w:rsidRDefault="0046457F">
      <w:pPr>
        <w:rPr>
          <w:rFonts w:ascii="Times New Roman" w:hAnsi="Times New Roman" w:cs="Times New Roman"/>
          <w:sz w:val="28"/>
          <w:szCs w:val="28"/>
        </w:rPr>
      </w:pPr>
    </w:p>
    <w:p w14:paraId="676DC289" w14:textId="77777777" w:rsidR="0046457F" w:rsidRPr="004B2ADA" w:rsidRDefault="0046457F">
      <w:pPr>
        <w:rPr>
          <w:rFonts w:ascii="Times New Roman" w:hAnsi="Times New Roman" w:cs="Times New Roman"/>
          <w:sz w:val="28"/>
          <w:szCs w:val="28"/>
        </w:rPr>
      </w:pPr>
    </w:p>
    <w:p w14:paraId="08B433B1" w14:textId="2D177D99" w:rsidR="0046457F" w:rsidRPr="00E7442D" w:rsidRDefault="0046457F" w:rsidP="0046457F">
      <w:pPr>
        <w:jc w:val="center"/>
        <w:rPr>
          <w:rFonts w:ascii="Times New Roman" w:hAnsi="Times New Roman" w:cs="Times New Roman"/>
          <w:b/>
          <w:bCs/>
          <w:sz w:val="32"/>
          <w:szCs w:val="32"/>
        </w:rPr>
      </w:pPr>
      <w:r w:rsidRPr="00E7442D">
        <w:rPr>
          <w:rFonts w:ascii="Times New Roman" w:hAnsi="Times New Roman" w:cs="Times New Roman"/>
          <w:b/>
          <w:bCs/>
          <w:sz w:val="32"/>
          <w:szCs w:val="32"/>
        </w:rPr>
        <w:t>VIEŠ</w:t>
      </w:r>
      <w:r w:rsidR="002D65E7">
        <w:rPr>
          <w:rFonts w:ascii="Times New Roman" w:hAnsi="Times New Roman" w:cs="Times New Roman"/>
          <w:b/>
          <w:bCs/>
          <w:sz w:val="32"/>
          <w:szCs w:val="32"/>
        </w:rPr>
        <w:t>OJI</w:t>
      </w:r>
      <w:r w:rsidR="00CF09C0">
        <w:rPr>
          <w:rFonts w:ascii="Times New Roman" w:hAnsi="Times New Roman" w:cs="Times New Roman"/>
          <w:b/>
          <w:bCs/>
          <w:sz w:val="32"/>
          <w:szCs w:val="32"/>
        </w:rPr>
        <w:t xml:space="preserve"> </w:t>
      </w:r>
      <w:r w:rsidRPr="00E7442D">
        <w:rPr>
          <w:rFonts w:ascii="Times New Roman" w:hAnsi="Times New Roman" w:cs="Times New Roman"/>
          <w:b/>
          <w:bCs/>
          <w:sz w:val="32"/>
          <w:szCs w:val="32"/>
        </w:rPr>
        <w:t>VETERINARINIO VAISTO VERTINIMO ATASKAITA</w:t>
      </w:r>
      <w:r w:rsidR="00CF09C0">
        <w:rPr>
          <w:rFonts w:ascii="Times New Roman" w:hAnsi="Times New Roman" w:cs="Times New Roman"/>
          <w:b/>
          <w:bCs/>
          <w:sz w:val="32"/>
          <w:szCs w:val="32"/>
        </w:rPr>
        <w:t xml:space="preserve"> (VVVVA)</w:t>
      </w:r>
    </w:p>
    <w:p w14:paraId="764EE71A" w14:textId="77777777" w:rsidR="0046457F" w:rsidRPr="004B2ADA" w:rsidRDefault="0046457F" w:rsidP="003948F8">
      <w:pPr>
        <w:rPr>
          <w:rFonts w:ascii="Times New Roman" w:hAnsi="Times New Roman" w:cs="Times New Roman"/>
          <w:sz w:val="28"/>
          <w:szCs w:val="28"/>
        </w:rPr>
      </w:pPr>
    </w:p>
    <w:p w14:paraId="6D35DF89" w14:textId="77777777" w:rsidR="0046457F" w:rsidRPr="004B2ADA" w:rsidRDefault="0046457F" w:rsidP="003948F8">
      <w:pPr>
        <w:rPr>
          <w:rFonts w:ascii="Times New Roman" w:hAnsi="Times New Roman" w:cs="Times New Roman"/>
          <w:sz w:val="28"/>
          <w:szCs w:val="28"/>
        </w:rPr>
      </w:pPr>
    </w:p>
    <w:p w14:paraId="1192E2AC" w14:textId="77777777" w:rsidR="000D7194" w:rsidRPr="004B2ADA" w:rsidRDefault="000D7194" w:rsidP="003948F8">
      <w:pPr>
        <w:rPr>
          <w:rFonts w:ascii="Times New Roman" w:hAnsi="Times New Roman" w:cs="Times New Roman"/>
          <w:sz w:val="28"/>
          <w:szCs w:val="28"/>
        </w:rPr>
      </w:pPr>
    </w:p>
    <w:p w14:paraId="09EA4F0F" w14:textId="77777777" w:rsidR="000D7194" w:rsidRPr="004B2ADA" w:rsidRDefault="000D7194" w:rsidP="003948F8">
      <w:pPr>
        <w:rPr>
          <w:rFonts w:ascii="Times New Roman" w:hAnsi="Times New Roman" w:cs="Times New Roman"/>
          <w:sz w:val="28"/>
          <w:szCs w:val="28"/>
        </w:rPr>
      </w:pPr>
    </w:p>
    <w:p w14:paraId="5EE93A5A" w14:textId="77777777" w:rsidR="000D7194" w:rsidRPr="004B2ADA" w:rsidRDefault="000D7194" w:rsidP="003948F8">
      <w:pPr>
        <w:rPr>
          <w:rFonts w:ascii="Times New Roman" w:hAnsi="Times New Roman" w:cs="Times New Roman"/>
          <w:sz w:val="28"/>
          <w:szCs w:val="28"/>
        </w:rPr>
      </w:pPr>
      <w:bookmarkStart w:id="0" w:name="_Hlk216638406"/>
    </w:p>
    <w:p w14:paraId="3FCDCA4A" w14:textId="152874E2" w:rsidR="00B85935" w:rsidRPr="00B85935" w:rsidRDefault="00B85935" w:rsidP="00B85935">
      <w:pPr>
        <w:spacing w:line="240" w:lineRule="auto"/>
        <w:rPr>
          <w:rFonts w:ascii="Times New Roman" w:hAnsi="Times New Roman" w:cs="Times New Roman"/>
          <w:b/>
          <w:bCs/>
          <w:sz w:val="28"/>
          <w:szCs w:val="28"/>
        </w:rPr>
      </w:pPr>
      <w:r w:rsidRPr="00B85935">
        <w:rPr>
          <w:rFonts w:ascii="Times New Roman" w:hAnsi="Times New Roman" w:cs="Times New Roman"/>
          <w:b/>
          <w:bCs/>
          <w:sz w:val="28"/>
          <w:szCs w:val="28"/>
        </w:rPr>
        <w:t>ALBENOL-100, 100 MG/ML, GERIAMOJI SUSPENSIJA GALVIJAMS, AVIMS IR OŽKOMS</w:t>
      </w:r>
    </w:p>
    <w:bookmarkEnd w:id="0"/>
    <w:p w14:paraId="1D3DB4D0" w14:textId="1E8F9F2E" w:rsidR="007B11B2" w:rsidRDefault="007B11B2">
      <w:pPr>
        <w:rPr>
          <w:rFonts w:ascii="Verdana" w:hAnsi="Verdana"/>
          <w:sz w:val="32"/>
          <w:szCs w:val="32"/>
        </w:rPr>
      </w:pPr>
      <w:r>
        <w:rPr>
          <w:rFonts w:ascii="Verdana" w:hAnsi="Verdana"/>
          <w:sz w:val="32"/>
          <w:szCs w:val="32"/>
        </w:rPr>
        <w:br w:type="page"/>
      </w:r>
    </w:p>
    <w:p w14:paraId="06DA617C" w14:textId="77777777" w:rsidR="0046457F" w:rsidRPr="004B2ADA" w:rsidRDefault="0046457F" w:rsidP="003948F8">
      <w:pPr>
        <w:rPr>
          <w:rFonts w:ascii="Times New Roman" w:hAnsi="Times New Roman" w:cs="Times New Roman"/>
          <w:sz w:val="24"/>
          <w:szCs w:val="24"/>
        </w:rPr>
      </w:pPr>
    </w:p>
    <w:p w14:paraId="7E943F25" w14:textId="60D9CA19" w:rsidR="00E001FE" w:rsidRPr="004D44C7" w:rsidRDefault="003C3EE5" w:rsidP="003C3EE5">
      <w:pPr>
        <w:jc w:val="center"/>
        <w:rPr>
          <w:rFonts w:ascii="Times New Roman" w:hAnsi="Times New Roman" w:cs="Times New Roman"/>
          <w:sz w:val="28"/>
          <w:szCs w:val="28"/>
        </w:rPr>
      </w:pPr>
      <w:r w:rsidRPr="004D44C7">
        <w:rPr>
          <w:rFonts w:ascii="Times New Roman" w:hAnsi="Times New Roman" w:cs="Times New Roman"/>
          <w:sz w:val="28"/>
          <w:szCs w:val="28"/>
        </w:rPr>
        <w:t xml:space="preserve">PRODUKTO </w:t>
      </w:r>
      <w:r w:rsidR="00051EE4">
        <w:rPr>
          <w:rFonts w:ascii="Times New Roman" w:hAnsi="Times New Roman" w:cs="Times New Roman"/>
          <w:sz w:val="28"/>
          <w:szCs w:val="28"/>
        </w:rPr>
        <w:t xml:space="preserve">DUOMENŲ </w:t>
      </w:r>
      <w:r w:rsidRPr="004D44C7">
        <w:rPr>
          <w:rFonts w:ascii="Times New Roman" w:hAnsi="Times New Roman" w:cs="Times New Roman"/>
          <w:sz w:val="28"/>
          <w:szCs w:val="28"/>
        </w:rPr>
        <w:t>SANTRAUKA</w:t>
      </w:r>
    </w:p>
    <w:p w14:paraId="717266D1" w14:textId="77777777" w:rsidR="003C3EE5" w:rsidRPr="006D359D" w:rsidRDefault="003C3EE5" w:rsidP="001A54BC">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248"/>
        <w:gridCol w:w="5380"/>
      </w:tblGrid>
      <w:tr w:rsidR="003C3EE5" w:rsidRPr="006D359D" w14:paraId="3E344DB9" w14:textId="77777777" w:rsidTr="002D2E8A">
        <w:tc>
          <w:tcPr>
            <w:tcW w:w="4248" w:type="dxa"/>
            <w:tcBorders>
              <w:left w:val="nil"/>
              <w:bottom w:val="single" w:sz="4" w:space="0" w:color="auto"/>
            </w:tcBorders>
          </w:tcPr>
          <w:p w14:paraId="4E141731" w14:textId="15FC5B56" w:rsidR="003C3EE5" w:rsidRPr="006D359D" w:rsidRDefault="003C3EE5" w:rsidP="003C3EE5">
            <w:pPr>
              <w:jc w:val="center"/>
              <w:rPr>
                <w:rFonts w:ascii="Times New Roman" w:hAnsi="Times New Roman" w:cs="Times New Roman"/>
                <w:sz w:val="24"/>
                <w:szCs w:val="24"/>
              </w:rPr>
            </w:pPr>
            <w:r w:rsidRPr="006D359D">
              <w:rPr>
                <w:rFonts w:ascii="Times New Roman" w:hAnsi="Times New Roman" w:cs="Times New Roman"/>
                <w:sz w:val="24"/>
                <w:szCs w:val="24"/>
              </w:rPr>
              <w:t>Paraiškos numeris</w:t>
            </w:r>
          </w:p>
        </w:tc>
        <w:tc>
          <w:tcPr>
            <w:tcW w:w="5380" w:type="dxa"/>
            <w:tcBorders>
              <w:bottom w:val="single" w:sz="4" w:space="0" w:color="auto"/>
              <w:right w:val="nil"/>
            </w:tcBorders>
          </w:tcPr>
          <w:p w14:paraId="73CA97F3" w14:textId="2B2E8AC9" w:rsidR="003C3EE5" w:rsidRPr="004D44C7" w:rsidRDefault="00321826" w:rsidP="003C3EE5">
            <w:pPr>
              <w:jc w:val="center"/>
              <w:rPr>
                <w:rFonts w:ascii="Times New Roman" w:hAnsi="Times New Roman" w:cs="Times New Roman"/>
                <w:sz w:val="24"/>
                <w:szCs w:val="24"/>
              </w:rPr>
            </w:pPr>
            <w:r w:rsidRPr="00321826">
              <w:rPr>
                <w:rFonts w:asciiTheme="majorHAnsi" w:hAnsiTheme="majorHAnsi" w:cstheme="majorHAnsi"/>
                <w:b/>
                <w:bCs/>
                <w:sz w:val="24"/>
                <w:szCs w:val="24"/>
              </w:rPr>
              <w:t>5A-333</w:t>
            </w:r>
          </w:p>
        </w:tc>
      </w:tr>
      <w:tr w:rsidR="003C3EE5" w:rsidRPr="006D359D" w14:paraId="44EC8F33" w14:textId="77777777" w:rsidTr="002D2E8A">
        <w:tc>
          <w:tcPr>
            <w:tcW w:w="4248" w:type="dxa"/>
            <w:tcBorders>
              <w:left w:val="nil"/>
              <w:bottom w:val="single" w:sz="4" w:space="0" w:color="auto"/>
            </w:tcBorders>
          </w:tcPr>
          <w:p w14:paraId="77968334" w14:textId="5716A58F" w:rsidR="003C3EE5" w:rsidRPr="006D359D" w:rsidRDefault="003C3EE5" w:rsidP="003C3EE5">
            <w:pPr>
              <w:jc w:val="center"/>
              <w:rPr>
                <w:rFonts w:ascii="Times New Roman" w:hAnsi="Times New Roman" w:cs="Times New Roman"/>
                <w:sz w:val="24"/>
                <w:szCs w:val="24"/>
              </w:rPr>
            </w:pPr>
            <w:r w:rsidRPr="006D359D">
              <w:rPr>
                <w:rFonts w:ascii="Times New Roman" w:hAnsi="Times New Roman" w:cs="Times New Roman"/>
                <w:sz w:val="24"/>
                <w:szCs w:val="24"/>
              </w:rPr>
              <w:t>Pavadinimas, stiprumas ir farmacinė forma</w:t>
            </w:r>
          </w:p>
        </w:tc>
        <w:tc>
          <w:tcPr>
            <w:tcW w:w="5380" w:type="dxa"/>
            <w:tcBorders>
              <w:bottom w:val="single" w:sz="4" w:space="0" w:color="auto"/>
              <w:right w:val="nil"/>
            </w:tcBorders>
          </w:tcPr>
          <w:p w14:paraId="672065ED" w14:textId="2B236F93" w:rsidR="00B85935" w:rsidRPr="00B85935" w:rsidRDefault="00B85935" w:rsidP="00B85935">
            <w:pPr>
              <w:rPr>
                <w:rFonts w:ascii="Times New Roman" w:hAnsi="Times New Roman" w:cs="Times New Roman"/>
                <w:sz w:val="24"/>
                <w:szCs w:val="24"/>
              </w:rPr>
            </w:pPr>
            <w:r w:rsidRPr="00B85935">
              <w:rPr>
                <w:rFonts w:ascii="Times New Roman" w:hAnsi="Times New Roman" w:cs="Times New Roman"/>
                <w:sz w:val="24"/>
                <w:szCs w:val="24"/>
              </w:rPr>
              <w:t xml:space="preserve">ALBENOL-100, 100 mg/ml, geriamoji suspensija </w:t>
            </w:r>
          </w:p>
          <w:p w14:paraId="6434494A" w14:textId="459458D3" w:rsidR="003C3EE5" w:rsidRPr="004D44C7" w:rsidRDefault="003C3EE5" w:rsidP="003C3EE5">
            <w:pPr>
              <w:jc w:val="center"/>
              <w:rPr>
                <w:rFonts w:ascii="Times New Roman" w:hAnsi="Times New Roman" w:cs="Times New Roman"/>
                <w:sz w:val="24"/>
                <w:szCs w:val="24"/>
              </w:rPr>
            </w:pPr>
          </w:p>
        </w:tc>
      </w:tr>
      <w:tr w:rsidR="004872FD" w:rsidRPr="006D359D" w14:paraId="03C9F5FF" w14:textId="77777777" w:rsidTr="002D2E8A">
        <w:tc>
          <w:tcPr>
            <w:tcW w:w="4248" w:type="dxa"/>
            <w:tcBorders>
              <w:left w:val="nil"/>
              <w:bottom w:val="single" w:sz="4" w:space="0" w:color="auto"/>
            </w:tcBorders>
          </w:tcPr>
          <w:p w14:paraId="6471AC18" w14:textId="103114C6" w:rsidR="004872FD" w:rsidRPr="006D359D" w:rsidRDefault="004872FD" w:rsidP="003C3EE5">
            <w:pPr>
              <w:jc w:val="center"/>
              <w:rPr>
                <w:rFonts w:ascii="Times New Roman" w:hAnsi="Times New Roman" w:cs="Times New Roman"/>
                <w:sz w:val="24"/>
                <w:szCs w:val="24"/>
              </w:rPr>
            </w:pPr>
            <w:r>
              <w:rPr>
                <w:rFonts w:ascii="Times New Roman" w:hAnsi="Times New Roman" w:cs="Times New Roman"/>
                <w:sz w:val="24"/>
                <w:szCs w:val="24"/>
              </w:rPr>
              <w:t>Pareiškėjas</w:t>
            </w:r>
          </w:p>
        </w:tc>
        <w:tc>
          <w:tcPr>
            <w:tcW w:w="5380" w:type="dxa"/>
            <w:tcBorders>
              <w:bottom w:val="single" w:sz="4" w:space="0" w:color="auto"/>
              <w:right w:val="nil"/>
            </w:tcBorders>
          </w:tcPr>
          <w:p w14:paraId="72050269" w14:textId="77777777" w:rsidR="00B85935" w:rsidRPr="00B85935" w:rsidRDefault="00B85935" w:rsidP="00B85935">
            <w:pPr>
              <w:rPr>
                <w:rFonts w:ascii="Times New Roman" w:hAnsi="Times New Roman" w:cs="Times New Roman"/>
                <w:sz w:val="24"/>
                <w:szCs w:val="24"/>
              </w:rPr>
            </w:pPr>
            <w:r w:rsidRPr="00B85935">
              <w:rPr>
                <w:rFonts w:ascii="Times New Roman" w:hAnsi="Times New Roman" w:cs="Times New Roman"/>
                <w:sz w:val="24"/>
                <w:szCs w:val="24"/>
              </w:rPr>
              <w:t>UAB “</w:t>
            </w:r>
            <w:proofErr w:type="spellStart"/>
            <w:r w:rsidRPr="00B85935">
              <w:rPr>
                <w:rFonts w:ascii="Times New Roman" w:hAnsi="Times New Roman" w:cs="Times New Roman"/>
                <w:sz w:val="24"/>
                <w:szCs w:val="24"/>
              </w:rPr>
              <w:t>Interchemie</w:t>
            </w:r>
            <w:proofErr w:type="spellEnd"/>
            <w:r w:rsidRPr="00B85935">
              <w:rPr>
                <w:rFonts w:ascii="Times New Roman" w:hAnsi="Times New Roman" w:cs="Times New Roman"/>
                <w:sz w:val="24"/>
                <w:szCs w:val="24"/>
              </w:rPr>
              <w:t xml:space="preserve"> </w:t>
            </w:r>
            <w:proofErr w:type="spellStart"/>
            <w:r w:rsidRPr="00B85935">
              <w:rPr>
                <w:rFonts w:ascii="Times New Roman" w:hAnsi="Times New Roman" w:cs="Times New Roman"/>
                <w:sz w:val="24"/>
                <w:szCs w:val="24"/>
              </w:rPr>
              <w:t>werken</w:t>
            </w:r>
            <w:proofErr w:type="spellEnd"/>
            <w:r w:rsidRPr="00B85935">
              <w:rPr>
                <w:rFonts w:ascii="Times New Roman" w:hAnsi="Times New Roman" w:cs="Times New Roman"/>
                <w:sz w:val="24"/>
                <w:szCs w:val="24"/>
              </w:rPr>
              <w:t xml:space="preserve"> “De </w:t>
            </w:r>
            <w:proofErr w:type="spellStart"/>
            <w:r w:rsidRPr="00B85935">
              <w:rPr>
                <w:rFonts w:ascii="Times New Roman" w:hAnsi="Times New Roman" w:cs="Times New Roman"/>
                <w:sz w:val="24"/>
                <w:szCs w:val="24"/>
              </w:rPr>
              <w:t>Adelaar</w:t>
            </w:r>
            <w:proofErr w:type="spellEnd"/>
            <w:r w:rsidRPr="00B85935">
              <w:rPr>
                <w:rFonts w:ascii="Times New Roman" w:hAnsi="Times New Roman" w:cs="Times New Roman"/>
                <w:sz w:val="24"/>
                <w:szCs w:val="24"/>
              </w:rPr>
              <w:t>” LT”</w:t>
            </w:r>
          </w:p>
          <w:p w14:paraId="453A5E4B" w14:textId="77777777" w:rsidR="00B85935" w:rsidRPr="00B85935" w:rsidRDefault="00B85935" w:rsidP="00B85935">
            <w:pPr>
              <w:rPr>
                <w:rFonts w:ascii="Times New Roman" w:hAnsi="Times New Roman" w:cs="Times New Roman"/>
                <w:sz w:val="24"/>
                <w:szCs w:val="24"/>
              </w:rPr>
            </w:pPr>
            <w:r w:rsidRPr="00B85935">
              <w:rPr>
                <w:rFonts w:ascii="Times New Roman" w:hAnsi="Times New Roman" w:cs="Times New Roman"/>
                <w:sz w:val="24"/>
                <w:szCs w:val="24"/>
              </w:rPr>
              <w:t xml:space="preserve">Terminalo g. 13, </w:t>
            </w:r>
            <w:proofErr w:type="spellStart"/>
            <w:r w:rsidRPr="00B85935">
              <w:rPr>
                <w:rFonts w:ascii="Times New Roman" w:hAnsi="Times New Roman" w:cs="Times New Roman"/>
                <w:sz w:val="24"/>
                <w:szCs w:val="24"/>
              </w:rPr>
              <w:t>Biruliškės</w:t>
            </w:r>
            <w:proofErr w:type="spellEnd"/>
            <w:r w:rsidRPr="00B85935">
              <w:rPr>
                <w:rFonts w:ascii="Times New Roman" w:hAnsi="Times New Roman" w:cs="Times New Roman"/>
                <w:sz w:val="24"/>
                <w:szCs w:val="24"/>
              </w:rPr>
              <w:t>,</w:t>
            </w:r>
          </w:p>
          <w:p w14:paraId="6B404FAA" w14:textId="77777777" w:rsidR="00B85935" w:rsidRPr="00B85935" w:rsidRDefault="00B85935" w:rsidP="00B85935">
            <w:pPr>
              <w:rPr>
                <w:rFonts w:ascii="Times New Roman" w:hAnsi="Times New Roman" w:cs="Times New Roman"/>
                <w:sz w:val="24"/>
                <w:szCs w:val="24"/>
              </w:rPr>
            </w:pPr>
            <w:r w:rsidRPr="00B85935">
              <w:rPr>
                <w:rFonts w:ascii="Times New Roman" w:hAnsi="Times New Roman" w:cs="Times New Roman"/>
                <w:sz w:val="24"/>
                <w:szCs w:val="24"/>
              </w:rPr>
              <w:t>LT-54469, Kauno r.</w:t>
            </w:r>
          </w:p>
          <w:p w14:paraId="77E4136B" w14:textId="59420EFC" w:rsidR="004872FD" w:rsidRPr="00B85935" w:rsidRDefault="00B85935" w:rsidP="004872FD">
            <w:r w:rsidRPr="00B85935">
              <w:rPr>
                <w:rFonts w:ascii="Times New Roman" w:hAnsi="Times New Roman" w:cs="Times New Roman"/>
                <w:sz w:val="24"/>
                <w:szCs w:val="24"/>
              </w:rPr>
              <w:t>Lietuva</w:t>
            </w:r>
          </w:p>
        </w:tc>
      </w:tr>
      <w:tr w:rsidR="003C3EE5" w:rsidRPr="006D359D" w14:paraId="7F999527" w14:textId="77777777" w:rsidTr="002D2E8A">
        <w:tc>
          <w:tcPr>
            <w:tcW w:w="4248" w:type="dxa"/>
            <w:tcBorders>
              <w:left w:val="nil"/>
              <w:bottom w:val="single" w:sz="4" w:space="0" w:color="auto"/>
            </w:tcBorders>
          </w:tcPr>
          <w:p w14:paraId="423E5FE9" w14:textId="0E7B3AE6" w:rsidR="003C3EE5" w:rsidRPr="006D359D" w:rsidRDefault="003C3EE5" w:rsidP="003C3EE5">
            <w:pPr>
              <w:jc w:val="center"/>
              <w:rPr>
                <w:rFonts w:ascii="Times New Roman" w:hAnsi="Times New Roman" w:cs="Times New Roman"/>
                <w:sz w:val="24"/>
                <w:szCs w:val="24"/>
              </w:rPr>
            </w:pPr>
            <w:r w:rsidRPr="006D359D">
              <w:rPr>
                <w:rFonts w:ascii="Times New Roman" w:hAnsi="Times New Roman" w:cs="Times New Roman"/>
                <w:sz w:val="24"/>
                <w:szCs w:val="24"/>
              </w:rPr>
              <w:t>Veiklioji (-</w:t>
            </w:r>
            <w:proofErr w:type="spellStart"/>
            <w:r w:rsidRPr="006D359D">
              <w:rPr>
                <w:rFonts w:ascii="Times New Roman" w:hAnsi="Times New Roman" w:cs="Times New Roman"/>
                <w:sz w:val="24"/>
                <w:szCs w:val="24"/>
              </w:rPr>
              <w:t>iosios</w:t>
            </w:r>
            <w:proofErr w:type="spellEnd"/>
            <w:r w:rsidRPr="006D359D">
              <w:rPr>
                <w:rFonts w:ascii="Times New Roman" w:hAnsi="Times New Roman" w:cs="Times New Roman"/>
                <w:sz w:val="24"/>
                <w:szCs w:val="24"/>
              </w:rPr>
              <w:t>) medžiaga (-</w:t>
            </w:r>
            <w:proofErr w:type="spellStart"/>
            <w:r w:rsidRPr="006D359D">
              <w:rPr>
                <w:rFonts w:ascii="Times New Roman" w:hAnsi="Times New Roman" w:cs="Times New Roman"/>
                <w:sz w:val="24"/>
                <w:szCs w:val="24"/>
              </w:rPr>
              <w:t>os</w:t>
            </w:r>
            <w:proofErr w:type="spellEnd"/>
            <w:r w:rsidRPr="006D359D">
              <w:rPr>
                <w:rFonts w:ascii="Times New Roman" w:hAnsi="Times New Roman" w:cs="Times New Roman"/>
                <w:sz w:val="24"/>
                <w:szCs w:val="24"/>
              </w:rPr>
              <w:t>)</w:t>
            </w:r>
          </w:p>
        </w:tc>
        <w:tc>
          <w:tcPr>
            <w:tcW w:w="5380" w:type="dxa"/>
            <w:tcBorders>
              <w:bottom w:val="single" w:sz="4" w:space="0" w:color="auto"/>
              <w:right w:val="nil"/>
            </w:tcBorders>
          </w:tcPr>
          <w:p w14:paraId="6DF232F3" w14:textId="6FA3137C" w:rsidR="003C3EE5" w:rsidRPr="004D44C7" w:rsidRDefault="00B85935" w:rsidP="004D44C7">
            <w:pPr>
              <w:rPr>
                <w:rFonts w:ascii="Times New Roman" w:hAnsi="Times New Roman" w:cs="Times New Roman"/>
                <w:sz w:val="24"/>
                <w:szCs w:val="24"/>
              </w:rPr>
            </w:pPr>
            <w:proofErr w:type="spellStart"/>
            <w:r>
              <w:rPr>
                <w:rFonts w:ascii="Times New Roman" w:hAnsi="Times New Roman" w:cs="Times New Roman"/>
                <w:iCs/>
                <w:sz w:val="24"/>
                <w:szCs w:val="24"/>
              </w:rPr>
              <w:t>Albendazolas</w:t>
            </w:r>
            <w:proofErr w:type="spellEnd"/>
          </w:p>
        </w:tc>
      </w:tr>
      <w:tr w:rsidR="003C3EE5" w:rsidRPr="006D359D" w14:paraId="133FEBB3" w14:textId="77777777" w:rsidTr="002D2E8A">
        <w:tc>
          <w:tcPr>
            <w:tcW w:w="4248" w:type="dxa"/>
            <w:tcBorders>
              <w:left w:val="nil"/>
              <w:bottom w:val="single" w:sz="4" w:space="0" w:color="auto"/>
            </w:tcBorders>
          </w:tcPr>
          <w:p w14:paraId="41FBE331" w14:textId="7E8EC926" w:rsidR="003C3EE5" w:rsidRPr="006D359D" w:rsidRDefault="00E70A8B" w:rsidP="003C3EE5">
            <w:pPr>
              <w:jc w:val="center"/>
              <w:rPr>
                <w:rFonts w:ascii="Times New Roman" w:hAnsi="Times New Roman" w:cs="Times New Roman"/>
                <w:sz w:val="24"/>
                <w:szCs w:val="24"/>
              </w:rPr>
            </w:pPr>
            <w:r w:rsidRPr="006D359D">
              <w:rPr>
                <w:rFonts w:ascii="Times New Roman" w:hAnsi="Times New Roman" w:cs="Times New Roman"/>
                <w:sz w:val="24"/>
                <w:szCs w:val="24"/>
              </w:rPr>
              <w:t>ATCVET kodas</w:t>
            </w:r>
          </w:p>
        </w:tc>
        <w:tc>
          <w:tcPr>
            <w:tcW w:w="5380" w:type="dxa"/>
            <w:tcBorders>
              <w:bottom w:val="single" w:sz="4" w:space="0" w:color="auto"/>
              <w:right w:val="nil"/>
            </w:tcBorders>
          </w:tcPr>
          <w:p w14:paraId="7747A989" w14:textId="109AAF5F" w:rsidR="003C3EE5" w:rsidRPr="00B85935" w:rsidRDefault="00B85935" w:rsidP="004D44C7">
            <w:pPr>
              <w:rPr>
                <w:rFonts w:ascii="Times New Roman" w:hAnsi="Times New Roman" w:cs="Times New Roman"/>
                <w:sz w:val="24"/>
                <w:szCs w:val="24"/>
              </w:rPr>
            </w:pPr>
            <w:r w:rsidRPr="00B85935">
              <w:rPr>
                <w:rFonts w:ascii="Times New Roman" w:hAnsi="Times New Roman" w:cs="Times New Roman"/>
                <w:bCs/>
                <w:sz w:val="24"/>
                <w:szCs w:val="24"/>
              </w:rPr>
              <w:t>QP52AC11</w:t>
            </w:r>
          </w:p>
        </w:tc>
      </w:tr>
      <w:tr w:rsidR="003C3EE5" w:rsidRPr="006D359D" w14:paraId="4945E4CC" w14:textId="77777777" w:rsidTr="002D2E8A">
        <w:tc>
          <w:tcPr>
            <w:tcW w:w="4248" w:type="dxa"/>
            <w:tcBorders>
              <w:left w:val="nil"/>
              <w:bottom w:val="single" w:sz="4" w:space="0" w:color="auto"/>
            </w:tcBorders>
          </w:tcPr>
          <w:p w14:paraId="1642007B" w14:textId="476EBD94" w:rsidR="003C3EE5" w:rsidRPr="006D359D" w:rsidRDefault="00E70A8B" w:rsidP="003C3EE5">
            <w:pPr>
              <w:jc w:val="center"/>
              <w:rPr>
                <w:rFonts w:ascii="Times New Roman" w:hAnsi="Times New Roman" w:cs="Times New Roman"/>
                <w:sz w:val="24"/>
                <w:szCs w:val="24"/>
              </w:rPr>
            </w:pPr>
            <w:r w:rsidRPr="006D359D">
              <w:rPr>
                <w:rFonts w:ascii="Times New Roman" w:hAnsi="Times New Roman" w:cs="Times New Roman"/>
                <w:sz w:val="24"/>
                <w:szCs w:val="24"/>
              </w:rPr>
              <w:t>Gyvūnų rūšis (-</w:t>
            </w:r>
            <w:proofErr w:type="spellStart"/>
            <w:r w:rsidRPr="006D359D">
              <w:rPr>
                <w:rFonts w:ascii="Times New Roman" w:hAnsi="Times New Roman" w:cs="Times New Roman"/>
                <w:sz w:val="24"/>
                <w:szCs w:val="24"/>
              </w:rPr>
              <w:t>ys</w:t>
            </w:r>
            <w:proofErr w:type="spellEnd"/>
            <w:r w:rsidRPr="006D359D">
              <w:rPr>
                <w:rFonts w:ascii="Times New Roman" w:hAnsi="Times New Roman" w:cs="Times New Roman"/>
                <w:sz w:val="24"/>
                <w:szCs w:val="24"/>
              </w:rPr>
              <w:t>)</w:t>
            </w:r>
          </w:p>
        </w:tc>
        <w:tc>
          <w:tcPr>
            <w:tcW w:w="5380" w:type="dxa"/>
            <w:tcBorders>
              <w:bottom w:val="single" w:sz="4" w:space="0" w:color="auto"/>
              <w:right w:val="nil"/>
            </w:tcBorders>
          </w:tcPr>
          <w:p w14:paraId="7D1928F9" w14:textId="0F96E6DD" w:rsidR="003C3EE5" w:rsidRPr="004D44C7" w:rsidRDefault="00AC63C0" w:rsidP="004D44C7">
            <w:pPr>
              <w:jc w:val="both"/>
              <w:rPr>
                <w:rFonts w:ascii="Times New Roman" w:hAnsi="Times New Roman" w:cs="Times New Roman"/>
                <w:sz w:val="24"/>
                <w:szCs w:val="24"/>
              </w:rPr>
            </w:pPr>
            <w:r>
              <w:rPr>
                <w:rFonts w:ascii="Times New Roman" w:hAnsi="Times New Roman" w:cs="Times New Roman"/>
                <w:sz w:val="24"/>
                <w:szCs w:val="24"/>
              </w:rPr>
              <w:t>Galvijai, avys, ožkos</w:t>
            </w:r>
          </w:p>
        </w:tc>
      </w:tr>
      <w:tr w:rsidR="003C3EE5" w:rsidRPr="006D359D" w14:paraId="59AAA9A3" w14:textId="77777777" w:rsidTr="002D2E8A">
        <w:tc>
          <w:tcPr>
            <w:tcW w:w="4248" w:type="dxa"/>
            <w:tcBorders>
              <w:left w:val="nil"/>
            </w:tcBorders>
          </w:tcPr>
          <w:p w14:paraId="19674831" w14:textId="39A9271B" w:rsidR="003C3EE5" w:rsidRPr="006D359D" w:rsidRDefault="00E70A8B" w:rsidP="003C3EE5">
            <w:pPr>
              <w:jc w:val="center"/>
              <w:rPr>
                <w:rFonts w:ascii="Times New Roman" w:hAnsi="Times New Roman" w:cs="Times New Roman"/>
                <w:sz w:val="24"/>
                <w:szCs w:val="24"/>
              </w:rPr>
            </w:pPr>
            <w:r w:rsidRPr="006D359D">
              <w:rPr>
                <w:rFonts w:ascii="Times New Roman" w:hAnsi="Times New Roman" w:cs="Times New Roman"/>
                <w:sz w:val="24"/>
                <w:szCs w:val="24"/>
              </w:rPr>
              <w:t>Indikacijos ir naudojimo būdas (-ai)</w:t>
            </w:r>
          </w:p>
        </w:tc>
        <w:tc>
          <w:tcPr>
            <w:tcW w:w="5380" w:type="dxa"/>
            <w:tcBorders>
              <w:right w:val="nil"/>
            </w:tcBorders>
          </w:tcPr>
          <w:p w14:paraId="1306E3EB" w14:textId="77777777" w:rsidR="00E22345" w:rsidRPr="00AC63C0" w:rsidRDefault="00E22345" w:rsidP="00E22345">
            <w:pPr>
              <w:rPr>
                <w:rFonts w:ascii="Times New Roman" w:hAnsi="Times New Roman" w:cs="Times New Roman"/>
                <w:sz w:val="24"/>
                <w:szCs w:val="24"/>
              </w:rPr>
            </w:pPr>
            <w:r w:rsidRPr="00AC63C0">
              <w:rPr>
                <w:rFonts w:ascii="Times New Roman" w:hAnsi="Times New Roman" w:cs="Times New Roman"/>
                <w:sz w:val="24"/>
                <w:szCs w:val="24"/>
              </w:rPr>
              <w:t>Indikacijos:</w:t>
            </w:r>
          </w:p>
          <w:p w14:paraId="527166F8" w14:textId="77777777" w:rsidR="00AC63C0" w:rsidRDefault="00AC63C0" w:rsidP="00AC63C0">
            <w:pPr>
              <w:jc w:val="both"/>
              <w:rPr>
                <w:rFonts w:ascii="Times New Roman" w:hAnsi="Times New Roman" w:cs="Times New Roman"/>
                <w:sz w:val="24"/>
                <w:szCs w:val="24"/>
              </w:rPr>
            </w:pPr>
            <w:r w:rsidRPr="00AC63C0">
              <w:rPr>
                <w:rFonts w:ascii="Times New Roman" w:hAnsi="Times New Roman" w:cs="Times New Roman"/>
                <w:sz w:val="24"/>
                <w:szCs w:val="24"/>
              </w:rPr>
              <w:t xml:space="preserve">Plataus veikimo spektro </w:t>
            </w:r>
            <w:proofErr w:type="spellStart"/>
            <w:r w:rsidRPr="00AC63C0">
              <w:rPr>
                <w:rFonts w:ascii="Times New Roman" w:hAnsi="Times New Roman" w:cs="Times New Roman"/>
                <w:sz w:val="24"/>
                <w:szCs w:val="24"/>
              </w:rPr>
              <w:t>antihelmintinis</w:t>
            </w:r>
            <w:proofErr w:type="spellEnd"/>
            <w:r w:rsidRPr="00AC63C0">
              <w:rPr>
                <w:rFonts w:ascii="Times New Roman" w:hAnsi="Times New Roman" w:cs="Times New Roman"/>
                <w:sz w:val="24"/>
                <w:szCs w:val="24"/>
              </w:rPr>
              <w:t xml:space="preserve"> vaistas galvijų, avių ir ožkų virškinimo trakto apvaliųjų kirmėlių, plaučių kirmėlių, kaspinuočių ir suaugusių kepeninių siurbikių invazijai kontroliuoti. Vaistas taip pat </w:t>
            </w:r>
            <w:proofErr w:type="spellStart"/>
            <w:r w:rsidRPr="00AC63C0">
              <w:rPr>
                <w:rFonts w:ascii="Times New Roman" w:hAnsi="Times New Roman" w:cs="Times New Roman"/>
                <w:sz w:val="24"/>
                <w:szCs w:val="24"/>
              </w:rPr>
              <w:t>ovicidiškai</w:t>
            </w:r>
            <w:proofErr w:type="spellEnd"/>
            <w:r w:rsidRPr="00AC63C0">
              <w:rPr>
                <w:rFonts w:ascii="Times New Roman" w:hAnsi="Times New Roman" w:cs="Times New Roman"/>
                <w:sz w:val="24"/>
                <w:szCs w:val="24"/>
              </w:rPr>
              <w:t xml:space="preserve"> veikia kepeninių siurbikių ir apvaliųjų kirmėlių kiaušinėlius.</w:t>
            </w:r>
          </w:p>
          <w:p w14:paraId="35EE402C" w14:textId="77777777" w:rsidR="00AC63C0" w:rsidRPr="00AC63C0" w:rsidRDefault="00AC63C0" w:rsidP="00AC63C0">
            <w:pPr>
              <w:rPr>
                <w:rFonts w:ascii="Times New Roman" w:hAnsi="Times New Roman" w:cs="Times New Roman"/>
                <w:sz w:val="24"/>
                <w:szCs w:val="24"/>
              </w:rPr>
            </w:pPr>
            <w:r w:rsidRPr="00AC63C0">
              <w:rPr>
                <w:rFonts w:ascii="Times New Roman" w:hAnsi="Times New Roman" w:cs="Times New Roman"/>
                <w:sz w:val="24"/>
                <w:szCs w:val="24"/>
              </w:rPr>
              <w:t>Galvijams vaistas veiksmingas nuo subrendusių ir besivystančių nesubrendusių formų šių rūšių:</w:t>
            </w:r>
          </w:p>
          <w:p w14:paraId="10209A26" w14:textId="77777777" w:rsidR="00AC63C0" w:rsidRPr="00AC63C0" w:rsidRDefault="00AC63C0" w:rsidP="00AC63C0">
            <w:pPr>
              <w:pStyle w:val="ListParagraph"/>
              <w:numPr>
                <w:ilvl w:val="0"/>
                <w:numId w:val="4"/>
              </w:numPr>
              <w:rPr>
                <w:rFonts w:ascii="Times New Roman" w:hAnsi="Times New Roman" w:cs="Times New Roman"/>
                <w:sz w:val="24"/>
                <w:szCs w:val="24"/>
              </w:rPr>
            </w:pPr>
            <w:r w:rsidRPr="00AC63C0">
              <w:rPr>
                <w:rFonts w:ascii="Times New Roman" w:hAnsi="Times New Roman" w:cs="Times New Roman"/>
                <w:sz w:val="24"/>
                <w:szCs w:val="24"/>
              </w:rPr>
              <w:t xml:space="preserve">apvaliųjų kirmėlių: </w:t>
            </w:r>
            <w:proofErr w:type="spellStart"/>
            <w:r w:rsidRPr="00AC63C0">
              <w:rPr>
                <w:rFonts w:ascii="Times New Roman" w:hAnsi="Times New Roman" w:cs="Times New Roman"/>
                <w:i/>
                <w:iCs/>
                <w:sz w:val="24"/>
                <w:szCs w:val="24"/>
              </w:rPr>
              <w:t>Ostertagia</w:t>
            </w:r>
            <w:proofErr w:type="spellEnd"/>
            <w:r w:rsidRPr="00AC63C0">
              <w:rPr>
                <w:rFonts w:ascii="Times New Roman" w:hAnsi="Times New Roman" w:cs="Times New Roman"/>
                <w:sz w:val="24"/>
                <w:szCs w:val="24"/>
              </w:rPr>
              <w:t xml:space="preserve">, </w:t>
            </w:r>
            <w:proofErr w:type="spellStart"/>
            <w:r w:rsidRPr="00AC63C0">
              <w:rPr>
                <w:rFonts w:ascii="Times New Roman" w:hAnsi="Times New Roman" w:cs="Times New Roman"/>
                <w:i/>
                <w:iCs/>
                <w:sz w:val="24"/>
                <w:szCs w:val="24"/>
              </w:rPr>
              <w:t>Haemonchus</w:t>
            </w:r>
            <w:proofErr w:type="spellEnd"/>
            <w:r w:rsidRPr="00AC63C0">
              <w:rPr>
                <w:rFonts w:ascii="Times New Roman" w:hAnsi="Times New Roman" w:cs="Times New Roman"/>
                <w:sz w:val="24"/>
                <w:szCs w:val="24"/>
              </w:rPr>
              <w:t xml:space="preserve">, </w:t>
            </w:r>
            <w:proofErr w:type="spellStart"/>
            <w:r w:rsidRPr="00AC63C0">
              <w:rPr>
                <w:rFonts w:ascii="Times New Roman" w:hAnsi="Times New Roman" w:cs="Times New Roman"/>
                <w:i/>
                <w:iCs/>
                <w:sz w:val="24"/>
                <w:szCs w:val="24"/>
              </w:rPr>
              <w:t>Trichostrongylus</w:t>
            </w:r>
            <w:proofErr w:type="spellEnd"/>
            <w:r w:rsidRPr="00AC63C0">
              <w:rPr>
                <w:rFonts w:ascii="Times New Roman" w:hAnsi="Times New Roman" w:cs="Times New Roman"/>
                <w:sz w:val="24"/>
                <w:szCs w:val="24"/>
              </w:rPr>
              <w:t xml:space="preserve">, </w:t>
            </w:r>
            <w:proofErr w:type="spellStart"/>
            <w:r w:rsidRPr="00AC63C0">
              <w:rPr>
                <w:rFonts w:ascii="Times New Roman" w:hAnsi="Times New Roman" w:cs="Times New Roman"/>
                <w:i/>
                <w:iCs/>
                <w:sz w:val="24"/>
                <w:szCs w:val="24"/>
              </w:rPr>
              <w:t>Nematodirus</w:t>
            </w:r>
            <w:proofErr w:type="spellEnd"/>
            <w:r w:rsidRPr="00AC63C0">
              <w:rPr>
                <w:rFonts w:ascii="Times New Roman" w:hAnsi="Times New Roman" w:cs="Times New Roman"/>
                <w:sz w:val="24"/>
                <w:szCs w:val="24"/>
              </w:rPr>
              <w:t xml:space="preserve">, </w:t>
            </w:r>
            <w:proofErr w:type="spellStart"/>
            <w:r w:rsidRPr="00AC63C0">
              <w:rPr>
                <w:rFonts w:ascii="Times New Roman" w:hAnsi="Times New Roman" w:cs="Times New Roman"/>
                <w:i/>
                <w:iCs/>
                <w:sz w:val="24"/>
                <w:szCs w:val="24"/>
              </w:rPr>
              <w:t>Oesophagostomum</w:t>
            </w:r>
            <w:proofErr w:type="spellEnd"/>
            <w:r w:rsidRPr="00AC63C0">
              <w:rPr>
                <w:rFonts w:ascii="Times New Roman" w:hAnsi="Times New Roman" w:cs="Times New Roman"/>
                <w:sz w:val="24"/>
                <w:szCs w:val="24"/>
              </w:rPr>
              <w:t xml:space="preserve">, </w:t>
            </w:r>
            <w:proofErr w:type="spellStart"/>
            <w:r w:rsidRPr="00AC63C0">
              <w:rPr>
                <w:rFonts w:ascii="Times New Roman" w:hAnsi="Times New Roman" w:cs="Times New Roman"/>
                <w:i/>
                <w:iCs/>
                <w:sz w:val="24"/>
                <w:szCs w:val="24"/>
              </w:rPr>
              <w:t>Bunostomum</w:t>
            </w:r>
            <w:proofErr w:type="spellEnd"/>
            <w:r w:rsidRPr="00AC63C0">
              <w:rPr>
                <w:rFonts w:ascii="Times New Roman" w:hAnsi="Times New Roman" w:cs="Times New Roman"/>
                <w:sz w:val="24"/>
                <w:szCs w:val="24"/>
              </w:rPr>
              <w:t xml:space="preserve">, </w:t>
            </w:r>
            <w:proofErr w:type="spellStart"/>
            <w:r w:rsidRPr="00AC63C0">
              <w:rPr>
                <w:rFonts w:ascii="Times New Roman" w:hAnsi="Times New Roman" w:cs="Times New Roman"/>
                <w:i/>
                <w:iCs/>
                <w:sz w:val="24"/>
                <w:szCs w:val="24"/>
              </w:rPr>
              <w:t>Cooperia</w:t>
            </w:r>
            <w:proofErr w:type="spellEnd"/>
            <w:r w:rsidRPr="00AC63C0">
              <w:rPr>
                <w:rFonts w:ascii="Times New Roman" w:hAnsi="Times New Roman" w:cs="Times New Roman"/>
                <w:sz w:val="24"/>
                <w:szCs w:val="24"/>
              </w:rPr>
              <w:t xml:space="preserve"> ir </w:t>
            </w:r>
            <w:proofErr w:type="spellStart"/>
            <w:r w:rsidRPr="00AC63C0">
              <w:rPr>
                <w:rFonts w:ascii="Times New Roman" w:hAnsi="Times New Roman" w:cs="Times New Roman"/>
                <w:i/>
                <w:iCs/>
                <w:sz w:val="24"/>
                <w:szCs w:val="24"/>
              </w:rPr>
              <w:t>Strongyloides</w:t>
            </w:r>
            <w:proofErr w:type="spellEnd"/>
            <w:r w:rsidRPr="00AC63C0">
              <w:rPr>
                <w:rFonts w:ascii="Times New Roman" w:hAnsi="Times New Roman" w:cs="Times New Roman"/>
                <w:sz w:val="24"/>
                <w:szCs w:val="24"/>
              </w:rPr>
              <w:t xml:space="preserve"> </w:t>
            </w:r>
            <w:proofErr w:type="spellStart"/>
            <w:r w:rsidRPr="00AC63C0">
              <w:rPr>
                <w:rFonts w:ascii="Times New Roman" w:hAnsi="Times New Roman" w:cs="Times New Roman"/>
                <w:sz w:val="24"/>
                <w:szCs w:val="24"/>
              </w:rPr>
              <w:t>spp</w:t>
            </w:r>
            <w:proofErr w:type="spellEnd"/>
            <w:r w:rsidRPr="00AC63C0">
              <w:rPr>
                <w:rFonts w:ascii="Times New Roman" w:hAnsi="Times New Roman" w:cs="Times New Roman"/>
                <w:sz w:val="24"/>
                <w:szCs w:val="24"/>
              </w:rPr>
              <w:t xml:space="preserve">. Paprastai jis veiksmingas nuslopintoms </w:t>
            </w:r>
            <w:proofErr w:type="spellStart"/>
            <w:r w:rsidRPr="00AC63C0">
              <w:rPr>
                <w:rFonts w:ascii="Times New Roman" w:hAnsi="Times New Roman" w:cs="Times New Roman"/>
                <w:i/>
                <w:iCs/>
                <w:sz w:val="24"/>
                <w:szCs w:val="24"/>
              </w:rPr>
              <w:t>Cooperia</w:t>
            </w:r>
            <w:proofErr w:type="spellEnd"/>
            <w:r w:rsidRPr="00AC63C0">
              <w:rPr>
                <w:rFonts w:ascii="Times New Roman" w:hAnsi="Times New Roman" w:cs="Times New Roman"/>
                <w:sz w:val="24"/>
                <w:szCs w:val="24"/>
              </w:rPr>
              <w:t xml:space="preserve"> ir </w:t>
            </w:r>
            <w:proofErr w:type="spellStart"/>
            <w:r w:rsidRPr="00AC63C0">
              <w:rPr>
                <w:rFonts w:ascii="Times New Roman" w:hAnsi="Times New Roman" w:cs="Times New Roman"/>
                <w:i/>
                <w:iCs/>
                <w:sz w:val="24"/>
                <w:szCs w:val="24"/>
              </w:rPr>
              <w:t>Ostertagia</w:t>
            </w:r>
            <w:proofErr w:type="spellEnd"/>
            <w:r w:rsidRPr="00AC63C0">
              <w:rPr>
                <w:rFonts w:ascii="Times New Roman" w:hAnsi="Times New Roman" w:cs="Times New Roman"/>
                <w:sz w:val="24"/>
                <w:szCs w:val="24"/>
              </w:rPr>
              <w:t xml:space="preserve"> lervoms;</w:t>
            </w:r>
          </w:p>
          <w:p w14:paraId="4DC66631" w14:textId="77777777" w:rsidR="00AC63C0" w:rsidRPr="00AC63C0" w:rsidRDefault="00AC63C0" w:rsidP="00AC63C0">
            <w:pPr>
              <w:pStyle w:val="ListParagraph"/>
              <w:numPr>
                <w:ilvl w:val="0"/>
                <w:numId w:val="4"/>
              </w:numPr>
              <w:rPr>
                <w:rFonts w:ascii="Times New Roman" w:hAnsi="Times New Roman" w:cs="Times New Roman"/>
                <w:sz w:val="24"/>
                <w:szCs w:val="24"/>
              </w:rPr>
            </w:pPr>
            <w:r w:rsidRPr="00AC63C0">
              <w:rPr>
                <w:rFonts w:ascii="Times New Roman" w:hAnsi="Times New Roman" w:cs="Times New Roman"/>
                <w:sz w:val="24"/>
                <w:szCs w:val="24"/>
              </w:rPr>
              <w:t xml:space="preserve">plaučių kirmėlių: </w:t>
            </w:r>
            <w:proofErr w:type="spellStart"/>
            <w:r w:rsidRPr="00AC63C0">
              <w:rPr>
                <w:rFonts w:ascii="Times New Roman" w:hAnsi="Times New Roman" w:cs="Times New Roman"/>
                <w:i/>
                <w:iCs/>
                <w:sz w:val="24"/>
                <w:szCs w:val="24"/>
              </w:rPr>
              <w:t>Dictyocaulus</w:t>
            </w:r>
            <w:proofErr w:type="spellEnd"/>
            <w:r w:rsidRPr="00AC63C0">
              <w:rPr>
                <w:rFonts w:ascii="Times New Roman" w:hAnsi="Times New Roman" w:cs="Times New Roman"/>
                <w:i/>
                <w:iCs/>
                <w:sz w:val="24"/>
                <w:szCs w:val="24"/>
              </w:rPr>
              <w:t xml:space="preserve"> </w:t>
            </w:r>
            <w:proofErr w:type="spellStart"/>
            <w:r w:rsidRPr="00AC63C0">
              <w:rPr>
                <w:rFonts w:ascii="Times New Roman" w:hAnsi="Times New Roman" w:cs="Times New Roman"/>
                <w:i/>
                <w:iCs/>
                <w:sz w:val="24"/>
                <w:szCs w:val="24"/>
              </w:rPr>
              <w:t>viviparus</w:t>
            </w:r>
            <w:proofErr w:type="spellEnd"/>
            <w:r w:rsidRPr="00AC63C0">
              <w:rPr>
                <w:rFonts w:ascii="Times New Roman" w:hAnsi="Times New Roman" w:cs="Times New Roman"/>
                <w:i/>
                <w:iCs/>
                <w:sz w:val="24"/>
                <w:szCs w:val="24"/>
              </w:rPr>
              <w:t>;</w:t>
            </w:r>
          </w:p>
          <w:p w14:paraId="4F4B3D17" w14:textId="77777777" w:rsidR="00AC63C0" w:rsidRPr="00AC63C0" w:rsidRDefault="00AC63C0" w:rsidP="00AC63C0">
            <w:pPr>
              <w:pStyle w:val="ListParagraph"/>
              <w:numPr>
                <w:ilvl w:val="0"/>
                <w:numId w:val="4"/>
              </w:numPr>
              <w:rPr>
                <w:rFonts w:ascii="Times New Roman" w:hAnsi="Times New Roman" w:cs="Times New Roman"/>
                <w:sz w:val="24"/>
                <w:szCs w:val="24"/>
              </w:rPr>
            </w:pPr>
            <w:r w:rsidRPr="00AC63C0">
              <w:rPr>
                <w:rFonts w:ascii="Times New Roman" w:hAnsi="Times New Roman" w:cs="Times New Roman"/>
                <w:sz w:val="24"/>
                <w:szCs w:val="24"/>
              </w:rPr>
              <w:t xml:space="preserve">kaspinuočių: </w:t>
            </w:r>
            <w:proofErr w:type="spellStart"/>
            <w:r w:rsidRPr="00AC63C0">
              <w:rPr>
                <w:rFonts w:ascii="Times New Roman" w:hAnsi="Times New Roman" w:cs="Times New Roman"/>
                <w:i/>
                <w:iCs/>
                <w:sz w:val="24"/>
                <w:szCs w:val="24"/>
              </w:rPr>
              <w:t>Moniezia</w:t>
            </w:r>
            <w:proofErr w:type="spellEnd"/>
            <w:r w:rsidRPr="00AC63C0">
              <w:rPr>
                <w:rFonts w:ascii="Times New Roman" w:hAnsi="Times New Roman" w:cs="Times New Roman"/>
                <w:sz w:val="24"/>
                <w:szCs w:val="24"/>
              </w:rPr>
              <w:t xml:space="preserve"> </w:t>
            </w:r>
            <w:proofErr w:type="spellStart"/>
            <w:r w:rsidRPr="00AC63C0">
              <w:rPr>
                <w:rFonts w:ascii="Times New Roman" w:hAnsi="Times New Roman" w:cs="Times New Roman"/>
                <w:sz w:val="24"/>
                <w:szCs w:val="24"/>
              </w:rPr>
              <w:t>spp</w:t>
            </w:r>
            <w:proofErr w:type="spellEnd"/>
            <w:r w:rsidRPr="00AC63C0">
              <w:rPr>
                <w:rFonts w:ascii="Times New Roman" w:hAnsi="Times New Roman" w:cs="Times New Roman"/>
                <w:sz w:val="24"/>
                <w:szCs w:val="24"/>
              </w:rPr>
              <w:t>.;</w:t>
            </w:r>
          </w:p>
          <w:p w14:paraId="14738CA6" w14:textId="77777777" w:rsidR="00AC63C0" w:rsidRPr="00AC63C0" w:rsidRDefault="00AC63C0" w:rsidP="00AC63C0">
            <w:pPr>
              <w:pStyle w:val="ListParagraph"/>
              <w:numPr>
                <w:ilvl w:val="0"/>
                <w:numId w:val="4"/>
              </w:numPr>
              <w:rPr>
                <w:rFonts w:ascii="Times New Roman" w:hAnsi="Times New Roman" w:cs="Times New Roman"/>
                <w:sz w:val="24"/>
                <w:szCs w:val="24"/>
              </w:rPr>
            </w:pPr>
            <w:r w:rsidRPr="00AC63C0">
              <w:rPr>
                <w:rFonts w:ascii="Times New Roman" w:hAnsi="Times New Roman" w:cs="Times New Roman"/>
                <w:sz w:val="24"/>
                <w:szCs w:val="24"/>
              </w:rPr>
              <w:t xml:space="preserve">suaugusių kepeninių siurbikių: </w:t>
            </w:r>
            <w:proofErr w:type="spellStart"/>
            <w:r w:rsidRPr="00AC63C0">
              <w:rPr>
                <w:rFonts w:ascii="Times New Roman" w:hAnsi="Times New Roman" w:cs="Times New Roman"/>
                <w:i/>
                <w:iCs/>
                <w:sz w:val="24"/>
                <w:szCs w:val="24"/>
              </w:rPr>
              <w:t>Fasciola</w:t>
            </w:r>
            <w:proofErr w:type="spellEnd"/>
            <w:r w:rsidRPr="00AC63C0">
              <w:rPr>
                <w:rFonts w:ascii="Times New Roman" w:hAnsi="Times New Roman" w:cs="Times New Roman"/>
                <w:i/>
                <w:iCs/>
                <w:sz w:val="24"/>
                <w:szCs w:val="24"/>
              </w:rPr>
              <w:t xml:space="preserve"> </w:t>
            </w:r>
            <w:proofErr w:type="spellStart"/>
            <w:r w:rsidRPr="00AC63C0">
              <w:rPr>
                <w:rFonts w:ascii="Times New Roman" w:hAnsi="Times New Roman" w:cs="Times New Roman"/>
                <w:i/>
                <w:iCs/>
                <w:sz w:val="24"/>
                <w:szCs w:val="24"/>
              </w:rPr>
              <w:t>hepatica</w:t>
            </w:r>
            <w:proofErr w:type="spellEnd"/>
            <w:r w:rsidRPr="00AC63C0">
              <w:rPr>
                <w:rFonts w:ascii="Times New Roman" w:hAnsi="Times New Roman" w:cs="Times New Roman"/>
                <w:sz w:val="24"/>
                <w:szCs w:val="24"/>
              </w:rPr>
              <w:t>.</w:t>
            </w:r>
          </w:p>
          <w:p w14:paraId="29E4F171" w14:textId="77777777" w:rsidR="00AC63C0" w:rsidRPr="00AC63C0" w:rsidRDefault="00AC63C0" w:rsidP="00AC63C0">
            <w:pPr>
              <w:jc w:val="both"/>
              <w:rPr>
                <w:rFonts w:ascii="Times New Roman" w:hAnsi="Times New Roman" w:cs="Times New Roman"/>
                <w:sz w:val="24"/>
                <w:szCs w:val="24"/>
              </w:rPr>
            </w:pPr>
            <w:r w:rsidRPr="00AC63C0">
              <w:rPr>
                <w:rFonts w:ascii="Times New Roman" w:hAnsi="Times New Roman" w:cs="Times New Roman"/>
                <w:sz w:val="24"/>
                <w:szCs w:val="24"/>
              </w:rPr>
              <w:t xml:space="preserve">Avims vaistas veiksmingas nuo šių rūšių </w:t>
            </w:r>
            <w:proofErr w:type="spellStart"/>
            <w:r w:rsidRPr="00AC63C0">
              <w:rPr>
                <w:rFonts w:ascii="Times New Roman" w:hAnsi="Times New Roman" w:cs="Times New Roman"/>
                <w:sz w:val="24"/>
                <w:szCs w:val="24"/>
              </w:rPr>
              <w:t>benzimidazolams</w:t>
            </w:r>
            <w:proofErr w:type="spellEnd"/>
            <w:r w:rsidRPr="00AC63C0">
              <w:rPr>
                <w:rFonts w:ascii="Times New Roman" w:hAnsi="Times New Roman" w:cs="Times New Roman"/>
                <w:sz w:val="24"/>
                <w:szCs w:val="24"/>
              </w:rPr>
              <w:t xml:space="preserve"> jautrių padermių (subrendusių ir besivystančių nesubrendusių formų):</w:t>
            </w:r>
          </w:p>
          <w:p w14:paraId="4F0F4149" w14:textId="77777777" w:rsidR="00AC63C0" w:rsidRPr="00AC63C0" w:rsidRDefault="00AC63C0" w:rsidP="00AC63C0">
            <w:pPr>
              <w:pStyle w:val="ListParagraph"/>
              <w:numPr>
                <w:ilvl w:val="0"/>
                <w:numId w:val="4"/>
              </w:numPr>
              <w:rPr>
                <w:rFonts w:ascii="Times New Roman" w:hAnsi="Times New Roman" w:cs="Times New Roman"/>
                <w:sz w:val="24"/>
                <w:szCs w:val="24"/>
              </w:rPr>
            </w:pPr>
            <w:r w:rsidRPr="00AC63C0">
              <w:rPr>
                <w:rFonts w:ascii="Times New Roman" w:hAnsi="Times New Roman" w:cs="Times New Roman"/>
                <w:sz w:val="24"/>
                <w:szCs w:val="24"/>
              </w:rPr>
              <w:t xml:space="preserve">apvaliųjų kirmėlių: </w:t>
            </w:r>
            <w:proofErr w:type="spellStart"/>
            <w:r w:rsidRPr="00AC63C0">
              <w:rPr>
                <w:rFonts w:ascii="Times New Roman" w:hAnsi="Times New Roman" w:cs="Times New Roman"/>
                <w:i/>
                <w:iCs/>
                <w:sz w:val="24"/>
                <w:szCs w:val="24"/>
              </w:rPr>
              <w:t>Ostertagia</w:t>
            </w:r>
            <w:proofErr w:type="spellEnd"/>
            <w:r w:rsidRPr="00AC63C0">
              <w:rPr>
                <w:rFonts w:ascii="Times New Roman" w:hAnsi="Times New Roman" w:cs="Times New Roman"/>
                <w:sz w:val="24"/>
                <w:szCs w:val="24"/>
              </w:rPr>
              <w:t xml:space="preserve">, </w:t>
            </w:r>
            <w:proofErr w:type="spellStart"/>
            <w:r w:rsidRPr="00AC63C0">
              <w:rPr>
                <w:rFonts w:ascii="Times New Roman" w:hAnsi="Times New Roman" w:cs="Times New Roman"/>
                <w:i/>
                <w:iCs/>
                <w:sz w:val="24"/>
                <w:szCs w:val="24"/>
              </w:rPr>
              <w:t>Haemonchus</w:t>
            </w:r>
            <w:proofErr w:type="spellEnd"/>
            <w:r w:rsidRPr="00AC63C0">
              <w:rPr>
                <w:rFonts w:ascii="Times New Roman" w:hAnsi="Times New Roman" w:cs="Times New Roman"/>
                <w:sz w:val="24"/>
                <w:szCs w:val="24"/>
              </w:rPr>
              <w:t xml:space="preserve">, </w:t>
            </w:r>
            <w:proofErr w:type="spellStart"/>
            <w:r w:rsidRPr="00AC63C0">
              <w:rPr>
                <w:rFonts w:ascii="Times New Roman" w:hAnsi="Times New Roman" w:cs="Times New Roman"/>
                <w:i/>
                <w:iCs/>
                <w:sz w:val="24"/>
                <w:szCs w:val="24"/>
              </w:rPr>
              <w:t>Trichostrongylus</w:t>
            </w:r>
            <w:proofErr w:type="spellEnd"/>
            <w:r w:rsidRPr="00AC63C0">
              <w:rPr>
                <w:rFonts w:ascii="Times New Roman" w:hAnsi="Times New Roman" w:cs="Times New Roman"/>
                <w:sz w:val="24"/>
                <w:szCs w:val="24"/>
              </w:rPr>
              <w:t xml:space="preserve">, </w:t>
            </w:r>
            <w:proofErr w:type="spellStart"/>
            <w:r w:rsidRPr="00AC63C0">
              <w:rPr>
                <w:rFonts w:ascii="Times New Roman" w:hAnsi="Times New Roman" w:cs="Times New Roman"/>
                <w:i/>
                <w:iCs/>
                <w:sz w:val="24"/>
                <w:szCs w:val="24"/>
              </w:rPr>
              <w:t>Nematodirus</w:t>
            </w:r>
            <w:proofErr w:type="spellEnd"/>
            <w:r w:rsidRPr="00AC63C0">
              <w:rPr>
                <w:rFonts w:ascii="Times New Roman" w:hAnsi="Times New Roman" w:cs="Times New Roman"/>
                <w:sz w:val="24"/>
                <w:szCs w:val="24"/>
              </w:rPr>
              <w:t xml:space="preserve"> (įskaitant </w:t>
            </w:r>
            <w:proofErr w:type="spellStart"/>
            <w:r w:rsidRPr="00AC63C0">
              <w:rPr>
                <w:rFonts w:ascii="Times New Roman" w:hAnsi="Times New Roman" w:cs="Times New Roman"/>
                <w:i/>
                <w:iCs/>
                <w:sz w:val="24"/>
                <w:szCs w:val="24"/>
              </w:rPr>
              <w:t>N.battus</w:t>
            </w:r>
            <w:proofErr w:type="spellEnd"/>
            <w:r w:rsidRPr="00AC63C0">
              <w:rPr>
                <w:rFonts w:ascii="Times New Roman" w:hAnsi="Times New Roman" w:cs="Times New Roman"/>
                <w:sz w:val="24"/>
                <w:szCs w:val="24"/>
              </w:rPr>
              <w:t xml:space="preserve">), </w:t>
            </w:r>
            <w:proofErr w:type="spellStart"/>
            <w:r w:rsidRPr="00AC63C0">
              <w:rPr>
                <w:rFonts w:ascii="Times New Roman" w:hAnsi="Times New Roman" w:cs="Times New Roman"/>
                <w:i/>
                <w:iCs/>
                <w:sz w:val="24"/>
                <w:szCs w:val="24"/>
              </w:rPr>
              <w:t>Chabertia</w:t>
            </w:r>
            <w:proofErr w:type="spellEnd"/>
            <w:r w:rsidRPr="00AC63C0">
              <w:rPr>
                <w:rFonts w:ascii="Times New Roman" w:hAnsi="Times New Roman" w:cs="Times New Roman"/>
                <w:sz w:val="24"/>
                <w:szCs w:val="24"/>
              </w:rPr>
              <w:t xml:space="preserve"> ir </w:t>
            </w:r>
            <w:proofErr w:type="spellStart"/>
            <w:r w:rsidRPr="00AC63C0">
              <w:rPr>
                <w:rFonts w:ascii="Times New Roman" w:hAnsi="Times New Roman" w:cs="Times New Roman"/>
                <w:i/>
                <w:iCs/>
                <w:sz w:val="24"/>
                <w:szCs w:val="24"/>
              </w:rPr>
              <w:t>Oesophagostomum</w:t>
            </w:r>
            <w:proofErr w:type="spellEnd"/>
            <w:r w:rsidRPr="00AC63C0">
              <w:rPr>
                <w:rFonts w:ascii="Times New Roman" w:hAnsi="Times New Roman" w:cs="Times New Roman"/>
                <w:sz w:val="24"/>
                <w:szCs w:val="24"/>
              </w:rPr>
              <w:t xml:space="preserve">. Paprastai jis veiksmingas nuslopintoms </w:t>
            </w:r>
            <w:proofErr w:type="spellStart"/>
            <w:r w:rsidRPr="00AC63C0">
              <w:rPr>
                <w:rFonts w:ascii="Times New Roman" w:hAnsi="Times New Roman" w:cs="Times New Roman"/>
                <w:i/>
                <w:iCs/>
                <w:sz w:val="24"/>
                <w:szCs w:val="24"/>
              </w:rPr>
              <w:t>Ostertagia</w:t>
            </w:r>
            <w:proofErr w:type="spellEnd"/>
            <w:r w:rsidRPr="00AC63C0">
              <w:rPr>
                <w:rFonts w:ascii="Times New Roman" w:hAnsi="Times New Roman" w:cs="Times New Roman"/>
                <w:i/>
                <w:iCs/>
                <w:sz w:val="24"/>
                <w:szCs w:val="24"/>
              </w:rPr>
              <w:t xml:space="preserve"> </w:t>
            </w:r>
            <w:r w:rsidRPr="00AC63C0">
              <w:rPr>
                <w:rFonts w:ascii="Times New Roman" w:hAnsi="Times New Roman" w:cs="Times New Roman"/>
                <w:sz w:val="24"/>
                <w:szCs w:val="24"/>
              </w:rPr>
              <w:t>lervoms;</w:t>
            </w:r>
          </w:p>
          <w:p w14:paraId="17486111" w14:textId="77777777" w:rsidR="00AC63C0" w:rsidRPr="00AC63C0" w:rsidRDefault="00AC63C0" w:rsidP="00AC63C0">
            <w:pPr>
              <w:pStyle w:val="ListParagraph"/>
              <w:numPr>
                <w:ilvl w:val="0"/>
                <w:numId w:val="4"/>
              </w:numPr>
              <w:rPr>
                <w:rFonts w:ascii="Times New Roman" w:hAnsi="Times New Roman" w:cs="Times New Roman"/>
                <w:sz w:val="24"/>
                <w:szCs w:val="24"/>
              </w:rPr>
            </w:pPr>
            <w:r w:rsidRPr="00AC63C0">
              <w:rPr>
                <w:rFonts w:ascii="Times New Roman" w:hAnsi="Times New Roman" w:cs="Times New Roman"/>
                <w:sz w:val="24"/>
                <w:szCs w:val="24"/>
              </w:rPr>
              <w:t xml:space="preserve">plaučių kirmėlių: </w:t>
            </w:r>
            <w:proofErr w:type="spellStart"/>
            <w:r w:rsidRPr="00AC63C0">
              <w:rPr>
                <w:rFonts w:ascii="Times New Roman" w:hAnsi="Times New Roman" w:cs="Times New Roman"/>
                <w:i/>
                <w:iCs/>
                <w:sz w:val="24"/>
                <w:szCs w:val="24"/>
              </w:rPr>
              <w:t>Dictyocaulus</w:t>
            </w:r>
            <w:proofErr w:type="spellEnd"/>
            <w:r w:rsidRPr="00AC63C0">
              <w:rPr>
                <w:rFonts w:ascii="Times New Roman" w:hAnsi="Times New Roman" w:cs="Times New Roman"/>
                <w:i/>
                <w:iCs/>
                <w:sz w:val="24"/>
                <w:szCs w:val="24"/>
              </w:rPr>
              <w:t xml:space="preserve"> </w:t>
            </w:r>
            <w:proofErr w:type="spellStart"/>
            <w:r w:rsidRPr="00AC63C0">
              <w:rPr>
                <w:rFonts w:ascii="Times New Roman" w:hAnsi="Times New Roman" w:cs="Times New Roman"/>
                <w:i/>
                <w:iCs/>
                <w:sz w:val="24"/>
                <w:szCs w:val="24"/>
              </w:rPr>
              <w:t>filaria</w:t>
            </w:r>
            <w:proofErr w:type="spellEnd"/>
            <w:r w:rsidRPr="00AC63C0">
              <w:rPr>
                <w:rFonts w:ascii="Times New Roman" w:hAnsi="Times New Roman" w:cs="Times New Roman"/>
                <w:sz w:val="24"/>
                <w:szCs w:val="24"/>
              </w:rPr>
              <w:t>;</w:t>
            </w:r>
          </w:p>
          <w:p w14:paraId="4EC090F5" w14:textId="77777777" w:rsidR="00AC63C0" w:rsidRPr="00AC63C0" w:rsidRDefault="00AC63C0" w:rsidP="00AC63C0">
            <w:pPr>
              <w:pStyle w:val="ListParagraph"/>
              <w:numPr>
                <w:ilvl w:val="0"/>
                <w:numId w:val="4"/>
              </w:numPr>
              <w:rPr>
                <w:rFonts w:ascii="Times New Roman" w:hAnsi="Times New Roman" w:cs="Times New Roman"/>
                <w:sz w:val="24"/>
                <w:szCs w:val="24"/>
              </w:rPr>
            </w:pPr>
            <w:r w:rsidRPr="00AC63C0">
              <w:rPr>
                <w:rFonts w:ascii="Times New Roman" w:hAnsi="Times New Roman" w:cs="Times New Roman"/>
                <w:sz w:val="24"/>
                <w:szCs w:val="24"/>
              </w:rPr>
              <w:t xml:space="preserve">kaspinuočių: </w:t>
            </w:r>
            <w:proofErr w:type="spellStart"/>
            <w:r w:rsidRPr="00AC63C0">
              <w:rPr>
                <w:rFonts w:ascii="Times New Roman" w:hAnsi="Times New Roman" w:cs="Times New Roman"/>
                <w:i/>
                <w:iCs/>
                <w:sz w:val="24"/>
                <w:szCs w:val="24"/>
              </w:rPr>
              <w:t>Moniezia</w:t>
            </w:r>
            <w:proofErr w:type="spellEnd"/>
            <w:r w:rsidRPr="00AC63C0">
              <w:rPr>
                <w:rFonts w:ascii="Times New Roman" w:hAnsi="Times New Roman" w:cs="Times New Roman"/>
                <w:sz w:val="24"/>
                <w:szCs w:val="24"/>
              </w:rPr>
              <w:t xml:space="preserve"> </w:t>
            </w:r>
            <w:proofErr w:type="spellStart"/>
            <w:r w:rsidRPr="00AC63C0">
              <w:rPr>
                <w:rFonts w:ascii="Times New Roman" w:hAnsi="Times New Roman" w:cs="Times New Roman"/>
                <w:sz w:val="24"/>
                <w:szCs w:val="24"/>
              </w:rPr>
              <w:t>spp</w:t>
            </w:r>
            <w:proofErr w:type="spellEnd"/>
            <w:r w:rsidRPr="00AC63C0">
              <w:rPr>
                <w:rFonts w:ascii="Times New Roman" w:hAnsi="Times New Roman" w:cs="Times New Roman"/>
                <w:sz w:val="24"/>
                <w:szCs w:val="24"/>
              </w:rPr>
              <w:t>.;</w:t>
            </w:r>
          </w:p>
          <w:p w14:paraId="4C85E14B" w14:textId="77777777" w:rsidR="00AC63C0" w:rsidRPr="00AC63C0" w:rsidRDefault="00AC63C0" w:rsidP="00AC63C0">
            <w:pPr>
              <w:pStyle w:val="ListParagraph"/>
              <w:numPr>
                <w:ilvl w:val="0"/>
                <w:numId w:val="4"/>
              </w:numPr>
              <w:rPr>
                <w:rFonts w:ascii="Times New Roman" w:hAnsi="Times New Roman" w:cs="Times New Roman"/>
                <w:sz w:val="24"/>
                <w:szCs w:val="24"/>
              </w:rPr>
            </w:pPr>
            <w:r w:rsidRPr="00AC63C0">
              <w:rPr>
                <w:rFonts w:ascii="Times New Roman" w:hAnsi="Times New Roman" w:cs="Times New Roman"/>
                <w:sz w:val="24"/>
                <w:szCs w:val="24"/>
              </w:rPr>
              <w:t xml:space="preserve">suaugusių kepeninių siurbikių: </w:t>
            </w:r>
            <w:proofErr w:type="spellStart"/>
            <w:r w:rsidRPr="00AC63C0">
              <w:rPr>
                <w:rFonts w:ascii="Times New Roman" w:hAnsi="Times New Roman" w:cs="Times New Roman"/>
                <w:i/>
                <w:iCs/>
                <w:sz w:val="24"/>
                <w:szCs w:val="24"/>
              </w:rPr>
              <w:t>Fasciola</w:t>
            </w:r>
            <w:proofErr w:type="spellEnd"/>
            <w:r w:rsidRPr="00AC63C0">
              <w:rPr>
                <w:rFonts w:ascii="Times New Roman" w:hAnsi="Times New Roman" w:cs="Times New Roman"/>
                <w:i/>
                <w:iCs/>
                <w:sz w:val="24"/>
                <w:szCs w:val="24"/>
              </w:rPr>
              <w:t xml:space="preserve"> </w:t>
            </w:r>
            <w:proofErr w:type="spellStart"/>
            <w:r w:rsidRPr="00AC63C0">
              <w:rPr>
                <w:rFonts w:ascii="Times New Roman" w:hAnsi="Times New Roman" w:cs="Times New Roman"/>
                <w:i/>
                <w:iCs/>
                <w:sz w:val="24"/>
                <w:szCs w:val="24"/>
              </w:rPr>
              <w:t>hepatica</w:t>
            </w:r>
            <w:proofErr w:type="spellEnd"/>
            <w:r w:rsidRPr="00AC63C0">
              <w:rPr>
                <w:rFonts w:ascii="Times New Roman" w:hAnsi="Times New Roman" w:cs="Times New Roman"/>
                <w:i/>
                <w:iCs/>
                <w:sz w:val="24"/>
                <w:szCs w:val="24"/>
              </w:rPr>
              <w:t>.</w:t>
            </w:r>
          </w:p>
          <w:p w14:paraId="4720CF5D" w14:textId="77777777" w:rsidR="00AC63C0" w:rsidRPr="00AC63C0" w:rsidRDefault="00AC63C0" w:rsidP="00AC63C0">
            <w:pPr>
              <w:rPr>
                <w:rFonts w:ascii="Times New Roman" w:hAnsi="Times New Roman" w:cs="Times New Roman"/>
                <w:sz w:val="24"/>
                <w:szCs w:val="24"/>
              </w:rPr>
            </w:pPr>
          </w:p>
          <w:p w14:paraId="77D3FAE8" w14:textId="26EED5CD" w:rsidR="00AC63C0" w:rsidRPr="00AC63C0" w:rsidRDefault="00AC63C0" w:rsidP="00AC63C0">
            <w:pPr>
              <w:jc w:val="both"/>
              <w:rPr>
                <w:rFonts w:ascii="Times New Roman" w:hAnsi="Times New Roman" w:cs="Times New Roman"/>
                <w:sz w:val="24"/>
                <w:szCs w:val="24"/>
              </w:rPr>
            </w:pPr>
            <w:r w:rsidRPr="00AC63C0">
              <w:rPr>
                <w:rFonts w:ascii="Times New Roman" w:hAnsi="Times New Roman" w:cs="Times New Roman"/>
                <w:sz w:val="24"/>
                <w:szCs w:val="24"/>
              </w:rPr>
              <w:t xml:space="preserve">Ožkų organizme vaistas veiksmingas suaugusioms kepeninėms siurbikėms </w:t>
            </w:r>
            <w:proofErr w:type="spellStart"/>
            <w:r w:rsidRPr="00AC63C0">
              <w:rPr>
                <w:rFonts w:ascii="Times New Roman" w:hAnsi="Times New Roman" w:cs="Times New Roman"/>
                <w:i/>
                <w:iCs/>
                <w:sz w:val="24"/>
                <w:szCs w:val="24"/>
              </w:rPr>
              <w:t>Fasciola</w:t>
            </w:r>
            <w:proofErr w:type="spellEnd"/>
            <w:r w:rsidRPr="00AC63C0">
              <w:rPr>
                <w:rFonts w:ascii="Times New Roman" w:hAnsi="Times New Roman" w:cs="Times New Roman"/>
                <w:i/>
                <w:iCs/>
                <w:sz w:val="24"/>
                <w:szCs w:val="24"/>
              </w:rPr>
              <w:t xml:space="preserve"> </w:t>
            </w:r>
            <w:proofErr w:type="spellStart"/>
            <w:r w:rsidRPr="00AC63C0">
              <w:rPr>
                <w:rFonts w:ascii="Times New Roman" w:hAnsi="Times New Roman" w:cs="Times New Roman"/>
                <w:i/>
                <w:iCs/>
                <w:sz w:val="24"/>
                <w:szCs w:val="24"/>
              </w:rPr>
              <w:t>hepatica</w:t>
            </w:r>
            <w:proofErr w:type="spellEnd"/>
            <w:r w:rsidRPr="00AC63C0">
              <w:rPr>
                <w:rFonts w:ascii="Times New Roman" w:hAnsi="Times New Roman" w:cs="Times New Roman"/>
                <w:sz w:val="24"/>
                <w:szCs w:val="24"/>
              </w:rPr>
              <w:t>.</w:t>
            </w:r>
          </w:p>
          <w:p w14:paraId="2A4950BA" w14:textId="3D9D3119" w:rsidR="00E22345" w:rsidRPr="004D44C7" w:rsidRDefault="00E22345" w:rsidP="00E22345">
            <w:pPr>
              <w:rPr>
                <w:rFonts w:ascii="Times New Roman" w:hAnsi="Times New Roman" w:cs="Times New Roman"/>
                <w:sz w:val="24"/>
                <w:szCs w:val="24"/>
              </w:rPr>
            </w:pPr>
          </w:p>
        </w:tc>
      </w:tr>
    </w:tbl>
    <w:p w14:paraId="305AE508" w14:textId="0FFB3DB9" w:rsidR="001A54BC" w:rsidRDefault="001A54BC" w:rsidP="003C3EE5">
      <w:pPr>
        <w:jc w:val="center"/>
        <w:rPr>
          <w:rFonts w:ascii="Times New Roman" w:hAnsi="Times New Roman" w:cs="Times New Roman"/>
          <w:sz w:val="24"/>
          <w:szCs w:val="24"/>
        </w:rPr>
      </w:pPr>
    </w:p>
    <w:p w14:paraId="5D6F965D" w14:textId="04EA2B12" w:rsidR="00E001FE" w:rsidRPr="003948F8" w:rsidRDefault="00336ED8" w:rsidP="00CD0825">
      <w:pPr>
        <w:rPr>
          <w:rFonts w:ascii="Times New Roman" w:hAnsi="Times New Roman" w:cs="Times New Roman"/>
          <w:sz w:val="28"/>
          <w:szCs w:val="28"/>
        </w:rPr>
      </w:pPr>
      <w:r w:rsidRPr="003948F8">
        <w:rPr>
          <w:rFonts w:ascii="Times New Roman" w:hAnsi="Times New Roman" w:cs="Times New Roman"/>
          <w:sz w:val="28"/>
          <w:szCs w:val="28"/>
        </w:rPr>
        <w:t>Produkto informacija</w:t>
      </w:r>
    </w:p>
    <w:p w14:paraId="23D9CFB9" w14:textId="1831ECFC" w:rsidR="00B246C6" w:rsidRDefault="00E70A8B" w:rsidP="00B246C6">
      <w:r w:rsidRPr="006D359D">
        <w:rPr>
          <w:rFonts w:ascii="Times New Roman" w:hAnsi="Times New Roman" w:cs="Times New Roman"/>
          <w:sz w:val="24"/>
          <w:szCs w:val="24"/>
        </w:rPr>
        <w:t xml:space="preserve">Veterinarinio </w:t>
      </w:r>
      <w:r w:rsidRPr="00E22345">
        <w:rPr>
          <w:rFonts w:ascii="Times New Roman" w:hAnsi="Times New Roman" w:cs="Times New Roman"/>
          <w:sz w:val="24"/>
          <w:szCs w:val="24"/>
        </w:rPr>
        <w:t xml:space="preserve">vaisto </w:t>
      </w:r>
      <w:r w:rsidR="00DA64FF" w:rsidRPr="00E22345">
        <w:rPr>
          <w:rFonts w:ascii="Times New Roman" w:hAnsi="Times New Roman" w:cs="Times New Roman"/>
          <w:sz w:val="24"/>
          <w:szCs w:val="24"/>
        </w:rPr>
        <w:t>aprašas (toliau VVA)</w:t>
      </w:r>
      <w:r w:rsidRPr="00E22345">
        <w:rPr>
          <w:rFonts w:ascii="Times New Roman" w:hAnsi="Times New Roman" w:cs="Times New Roman"/>
          <w:sz w:val="24"/>
          <w:szCs w:val="24"/>
        </w:rPr>
        <w:t>, ženklinimas ir pakuotės lapelis yra skelbiamas Veterinarinių vaistų registre</w:t>
      </w:r>
      <w:r w:rsidR="000D7194" w:rsidRPr="00E22345">
        <w:rPr>
          <w:rFonts w:ascii="Times New Roman" w:hAnsi="Times New Roman" w:cs="Times New Roman"/>
          <w:sz w:val="24"/>
          <w:szCs w:val="24"/>
        </w:rPr>
        <w:t>:</w:t>
      </w:r>
      <w:r w:rsidR="002D2E8A" w:rsidRPr="00E22345">
        <w:rPr>
          <w:rFonts w:ascii="Times New Roman" w:hAnsi="Times New Roman" w:cs="Times New Roman"/>
          <w:sz w:val="24"/>
          <w:szCs w:val="24"/>
        </w:rPr>
        <w:t xml:space="preserve"> </w:t>
      </w:r>
      <w:hyperlink r:id="rId10" w:history="1">
        <w:r w:rsidR="000D7194" w:rsidRPr="00E22345">
          <w:rPr>
            <w:rStyle w:val="Hyperlink"/>
            <w:rFonts w:ascii="Times New Roman" w:hAnsi="Times New Roman" w:cs="Times New Roman"/>
            <w:sz w:val="24"/>
            <w:szCs w:val="24"/>
          </w:rPr>
          <w:t>http://vetlt1.vet.lt/vr/</w:t>
        </w:r>
      </w:hyperlink>
      <w:r w:rsidR="000D7194" w:rsidRPr="00E22345">
        <w:rPr>
          <w:rFonts w:ascii="Times New Roman" w:hAnsi="Times New Roman" w:cs="Times New Roman"/>
          <w:sz w:val="24"/>
          <w:szCs w:val="24"/>
        </w:rPr>
        <w:t xml:space="preserve"> </w:t>
      </w:r>
      <w:r w:rsidRPr="00E22345">
        <w:rPr>
          <w:rFonts w:ascii="Times New Roman" w:hAnsi="Times New Roman" w:cs="Times New Roman"/>
          <w:sz w:val="24"/>
          <w:szCs w:val="24"/>
        </w:rPr>
        <w:t>ir Europos duomenų bazėj</w:t>
      </w:r>
      <w:r w:rsidR="00B246C6" w:rsidRPr="00E22345">
        <w:rPr>
          <w:rFonts w:ascii="Times New Roman" w:hAnsi="Times New Roman" w:cs="Times New Roman"/>
          <w:sz w:val="24"/>
          <w:szCs w:val="24"/>
        </w:rPr>
        <w:t xml:space="preserve">e: </w:t>
      </w:r>
      <w:hyperlink r:id="rId11" w:history="1">
        <w:r w:rsidR="00B246C6" w:rsidRPr="00E22345">
          <w:rPr>
            <w:rStyle w:val="Hyperlink"/>
            <w:rFonts w:ascii="Times New Roman" w:hAnsi="Times New Roman" w:cs="Times New Roman"/>
            <w:sz w:val="24"/>
            <w:szCs w:val="24"/>
          </w:rPr>
          <w:t>https://medicines.health.europa.eu/veterinary/lt</w:t>
        </w:r>
      </w:hyperlink>
    </w:p>
    <w:p w14:paraId="2FB423F1" w14:textId="6B583DDF" w:rsidR="00E70A8B" w:rsidRPr="006D359D" w:rsidRDefault="00A46CDE" w:rsidP="003948F8">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w:t>
      </w:r>
    </w:p>
    <w:p w14:paraId="6D3453A8" w14:textId="77777777" w:rsidR="002D2E8A" w:rsidRDefault="002D2E8A" w:rsidP="00E70A8B">
      <w:pPr>
        <w:rPr>
          <w:rFonts w:ascii="Verdana" w:hAnsi="Verdana"/>
          <w:sz w:val="24"/>
          <w:szCs w:val="24"/>
        </w:rPr>
      </w:pPr>
    </w:p>
    <w:p w14:paraId="46C2CC85" w14:textId="04B6B453" w:rsidR="00F20C3F" w:rsidRDefault="00F20C3F">
      <w:pPr>
        <w:rPr>
          <w:rFonts w:ascii="Verdana" w:hAnsi="Verdana"/>
          <w:sz w:val="24"/>
          <w:szCs w:val="24"/>
        </w:rPr>
      </w:pPr>
      <w:r>
        <w:rPr>
          <w:rFonts w:ascii="Verdana" w:hAnsi="Verdana"/>
          <w:sz w:val="24"/>
          <w:szCs w:val="24"/>
        </w:rPr>
        <w:br w:type="page"/>
      </w:r>
    </w:p>
    <w:p w14:paraId="78B8AD5D" w14:textId="77777777" w:rsidR="002D2E8A" w:rsidRPr="006D359D" w:rsidRDefault="002D2E8A" w:rsidP="00E70A8B">
      <w:pPr>
        <w:rPr>
          <w:rFonts w:ascii="Times New Roman" w:hAnsi="Times New Roman" w:cs="Times New Roman"/>
          <w:sz w:val="24"/>
          <w:szCs w:val="24"/>
        </w:rPr>
      </w:pPr>
    </w:p>
    <w:p w14:paraId="6A7EBC72" w14:textId="77777777" w:rsidR="002A7751" w:rsidRDefault="002A7751" w:rsidP="002D2E8A">
      <w:pPr>
        <w:jc w:val="center"/>
        <w:rPr>
          <w:rFonts w:ascii="Times New Roman" w:hAnsi="Times New Roman" w:cs="Times New Roman"/>
          <w:sz w:val="24"/>
          <w:szCs w:val="24"/>
        </w:rPr>
      </w:pPr>
    </w:p>
    <w:p w14:paraId="595097B0" w14:textId="77777777" w:rsidR="002A7751" w:rsidRDefault="002A7751" w:rsidP="002D2E8A">
      <w:pPr>
        <w:jc w:val="center"/>
        <w:rPr>
          <w:rFonts w:ascii="Times New Roman" w:hAnsi="Times New Roman" w:cs="Times New Roman"/>
          <w:sz w:val="24"/>
          <w:szCs w:val="24"/>
        </w:rPr>
      </w:pPr>
    </w:p>
    <w:p w14:paraId="6DD640C9" w14:textId="1B103F14" w:rsidR="002D2E8A" w:rsidRPr="006D359D" w:rsidRDefault="002D2E8A" w:rsidP="002D2E8A">
      <w:pPr>
        <w:jc w:val="center"/>
        <w:rPr>
          <w:rFonts w:ascii="Times New Roman" w:hAnsi="Times New Roman" w:cs="Times New Roman"/>
          <w:sz w:val="24"/>
          <w:szCs w:val="24"/>
        </w:rPr>
      </w:pPr>
      <w:r w:rsidRPr="006D359D">
        <w:rPr>
          <w:rFonts w:ascii="Times New Roman" w:hAnsi="Times New Roman" w:cs="Times New Roman"/>
          <w:sz w:val="24"/>
          <w:szCs w:val="24"/>
        </w:rPr>
        <w:t>VERTINIMO SANTRAUKA</w:t>
      </w:r>
    </w:p>
    <w:tbl>
      <w:tblPr>
        <w:tblStyle w:val="TableGrid"/>
        <w:tblW w:w="0" w:type="auto"/>
        <w:tblLook w:val="04A0" w:firstRow="1" w:lastRow="0" w:firstColumn="1" w:lastColumn="0" w:noHBand="0" w:noVBand="1"/>
      </w:tblPr>
      <w:tblGrid>
        <w:gridCol w:w="4111"/>
        <w:gridCol w:w="5517"/>
      </w:tblGrid>
      <w:tr w:rsidR="002D2E8A" w:rsidRPr="006D359D" w14:paraId="08A8E85A" w14:textId="77777777" w:rsidTr="00AD28DB">
        <w:tc>
          <w:tcPr>
            <w:tcW w:w="4111" w:type="dxa"/>
            <w:tcBorders>
              <w:left w:val="nil"/>
              <w:bottom w:val="single" w:sz="4" w:space="0" w:color="auto"/>
            </w:tcBorders>
          </w:tcPr>
          <w:p w14:paraId="1FEDCBE4" w14:textId="546AFEEA" w:rsidR="002D2E8A" w:rsidRPr="006D359D" w:rsidRDefault="002D2E8A" w:rsidP="002D2E8A">
            <w:pPr>
              <w:rPr>
                <w:rFonts w:ascii="Times New Roman" w:hAnsi="Times New Roman" w:cs="Times New Roman"/>
                <w:sz w:val="24"/>
                <w:szCs w:val="24"/>
              </w:rPr>
            </w:pPr>
            <w:r w:rsidRPr="006D359D">
              <w:rPr>
                <w:rFonts w:ascii="Times New Roman" w:hAnsi="Times New Roman" w:cs="Times New Roman"/>
                <w:sz w:val="24"/>
                <w:szCs w:val="24"/>
              </w:rPr>
              <w:t>Paraiškos teisinis pagrindas</w:t>
            </w:r>
          </w:p>
        </w:tc>
        <w:tc>
          <w:tcPr>
            <w:tcW w:w="5517" w:type="dxa"/>
            <w:tcBorders>
              <w:bottom w:val="single" w:sz="4" w:space="0" w:color="auto"/>
              <w:right w:val="nil"/>
            </w:tcBorders>
          </w:tcPr>
          <w:p w14:paraId="00B3B164" w14:textId="196070A3" w:rsidR="002D2E8A" w:rsidRPr="006D359D" w:rsidRDefault="00AD28DB" w:rsidP="00AC6118">
            <w:pPr>
              <w:rPr>
                <w:rFonts w:ascii="Times New Roman" w:hAnsi="Times New Roman" w:cs="Times New Roman"/>
                <w:sz w:val="24"/>
                <w:szCs w:val="24"/>
              </w:rPr>
            </w:pPr>
            <w:r>
              <w:rPr>
                <w:rFonts w:ascii="Times New Roman" w:hAnsi="Times New Roman" w:cs="Times New Roman"/>
                <w:sz w:val="24"/>
                <w:szCs w:val="24"/>
              </w:rPr>
              <w:t xml:space="preserve">Reglamentas  (ES) </w:t>
            </w:r>
            <w:r w:rsidRPr="00F1053D">
              <w:rPr>
                <w:rFonts w:ascii="Times New Roman" w:hAnsi="Times New Roman" w:cs="Times New Roman"/>
                <w:sz w:val="24"/>
                <w:szCs w:val="24"/>
              </w:rPr>
              <w:t xml:space="preserve">2019/6 </w:t>
            </w:r>
            <w:r w:rsidR="00AC6118">
              <w:rPr>
                <w:rFonts w:ascii="Times New Roman" w:hAnsi="Times New Roman" w:cs="Times New Roman"/>
                <w:sz w:val="24"/>
                <w:szCs w:val="24"/>
              </w:rPr>
              <w:t>22</w:t>
            </w:r>
            <w:r w:rsidR="00A67B30" w:rsidRPr="00F1053D">
              <w:rPr>
                <w:rFonts w:ascii="Times New Roman" w:hAnsi="Times New Roman" w:cs="Times New Roman"/>
                <w:sz w:val="24"/>
                <w:szCs w:val="24"/>
              </w:rPr>
              <w:t xml:space="preserve"> </w:t>
            </w:r>
            <w:r w:rsidRPr="00F1053D">
              <w:rPr>
                <w:rFonts w:ascii="Times New Roman" w:hAnsi="Times New Roman" w:cs="Times New Roman"/>
                <w:sz w:val="24"/>
                <w:szCs w:val="24"/>
              </w:rPr>
              <w:t>str.</w:t>
            </w:r>
            <w:r w:rsidR="00AC6118">
              <w:rPr>
                <w:rFonts w:ascii="Times New Roman" w:hAnsi="Times New Roman" w:cs="Times New Roman"/>
                <w:sz w:val="24"/>
                <w:szCs w:val="24"/>
              </w:rPr>
              <w:t xml:space="preserve"> </w:t>
            </w:r>
            <w:r w:rsidR="00AC6118" w:rsidRPr="00AC6118">
              <w:rPr>
                <w:rFonts w:ascii="Times New Roman" w:hAnsi="Times New Roman" w:cs="Times New Roman"/>
                <w:sz w:val="24"/>
                <w:szCs w:val="24"/>
              </w:rPr>
              <w:t>Bibliografiniais duomenimis grindžiama paraiška</w:t>
            </w:r>
          </w:p>
        </w:tc>
      </w:tr>
      <w:tr w:rsidR="002D2E8A" w:rsidRPr="006D359D" w14:paraId="0A1CD062" w14:textId="77777777" w:rsidTr="00AD28DB">
        <w:tc>
          <w:tcPr>
            <w:tcW w:w="4111" w:type="dxa"/>
            <w:tcBorders>
              <w:left w:val="nil"/>
              <w:bottom w:val="single" w:sz="4" w:space="0" w:color="auto"/>
            </w:tcBorders>
          </w:tcPr>
          <w:p w14:paraId="52E67FD0" w14:textId="1BB3A56E" w:rsidR="002D2E8A" w:rsidRPr="006D359D" w:rsidRDefault="002D2E8A" w:rsidP="002D2E8A">
            <w:pPr>
              <w:rPr>
                <w:rFonts w:ascii="Times New Roman" w:hAnsi="Times New Roman" w:cs="Times New Roman"/>
                <w:sz w:val="24"/>
                <w:szCs w:val="24"/>
              </w:rPr>
            </w:pPr>
            <w:r w:rsidRPr="006D359D">
              <w:rPr>
                <w:rFonts w:ascii="Times New Roman" w:hAnsi="Times New Roman" w:cs="Times New Roman"/>
                <w:sz w:val="24"/>
                <w:szCs w:val="24"/>
              </w:rPr>
              <w:t>Procedūros užbaigimo data</w:t>
            </w:r>
          </w:p>
        </w:tc>
        <w:tc>
          <w:tcPr>
            <w:tcW w:w="5517" w:type="dxa"/>
            <w:tcBorders>
              <w:bottom w:val="single" w:sz="4" w:space="0" w:color="auto"/>
              <w:right w:val="nil"/>
            </w:tcBorders>
          </w:tcPr>
          <w:p w14:paraId="6FC23FF7" w14:textId="02DE09F7" w:rsidR="002D2E8A" w:rsidRPr="006D359D" w:rsidRDefault="00465AE9" w:rsidP="002D2E8A">
            <w:pPr>
              <w:rPr>
                <w:rFonts w:ascii="Times New Roman" w:hAnsi="Times New Roman" w:cs="Times New Roman"/>
                <w:sz w:val="24"/>
                <w:szCs w:val="24"/>
              </w:rPr>
            </w:pPr>
            <w:r w:rsidRPr="00442D44">
              <w:rPr>
                <w:rFonts w:ascii="Times New Roman" w:hAnsi="Times New Roman" w:cs="Times New Roman"/>
                <w:sz w:val="24"/>
                <w:szCs w:val="24"/>
              </w:rPr>
              <w:t>202</w:t>
            </w:r>
            <w:r w:rsidR="00CD0825">
              <w:rPr>
                <w:rFonts w:ascii="Times New Roman" w:hAnsi="Times New Roman" w:cs="Times New Roman"/>
                <w:sz w:val="24"/>
                <w:szCs w:val="24"/>
              </w:rPr>
              <w:t>5</w:t>
            </w:r>
            <w:r w:rsidRPr="00442D44">
              <w:rPr>
                <w:rFonts w:ascii="Times New Roman" w:hAnsi="Times New Roman" w:cs="Times New Roman"/>
                <w:sz w:val="24"/>
                <w:szCs w:val="24"/>
              </w:rPr>
              <w:t>-</w:t>
            </w:r>
            <w:r w:rsidR="00AC6118" w:rsidRPr="00AC6118">
              <w:rPr>
                <w:rFonts w:ascii="Times New Roman" w:hAnsi="Times New Roman" w:cs="Times New Roman"/>
                <w:sz w:val="24"/>
                <w:szCs w:val="24"/>
              </w:rPr>
              <w:t>05-19</w:t>
            </w:r>
          </w:p>
        </w:tc>
      </w:tr>
      <w:tr w:rsidR="002D2E8A" w:rsidRPr="006D359D" w14:paraId="23F7FD05" w14:textId="77777777" w:rsidTr="00AD28DB">
        <w:tc>
          <w:tcPr>
            <w:tcW w:w="4111" w:type="dxa"/>
            <w:tcBorders>
              <w:left w:val="nil"/>
            </w:tcBorders>
          </w:tcPr>
          <w:p w14:paraId="0E72F794" w14:textId="77777777" w:rsidR="002D2E8A" w:rsidRPr="006D359D" w:rsidRDefault="002D2E8A" w:rsidP="002D2E8A">
            <w:pPr>
              <w:rPr>
                <w:rFonts w:ascii="Times New Roman" w:hAnsi="Times New Roman" w:cs="Times New Roman"/>
                <w:sz w:val="24"/>
                <w:szCs w:val="24"/>
              </w:rPr>
            </w:pPr>
          </w:p>
        </w:tc>
        <w:tc>
          <w:tcPr>
            <w:tcW w:w="5517" w:type="dxa"/>
            <w:tcBorders>
              <w:right w:val="nil"/>
            </w:tcBorders>
          </w:tcPr>
          <w:p w14:paraId="6B90902D" w14:textId="77777777" w:rsidR="002D2E8A" w:rsidRPr="006D359D" w:rsidRDefault="002D2E8A" w:rsidP="002D2E8A">
            <w:pPr>
              <w:rPr>
                <w:rFonts w:ascii="Times New Roman" w:hAnsi="Times New Roman" w:cs="Times New Roman"/>
                <w:sz w:val="24"/>
                <w:szCs w:val="24"/>
              </w:rPr>
            </w:pPr>
          </w:p>
        </w:tc>
      </w:tr>
    </w:tbl>
    <w:p w14:paraId="2F25E760" w14:textId="77777777" w:rsidR="002D2E8A" w:rsidRDefault="002D2E8A" w:rsidP="002D2E8A">
      <w:pPr>
        <w:rPr>
          <w:rFonts w:ascii="Verdana" w:hAnsi="Verdana"/>
          <w:sz w:val="24"/>
          <w:szCs w:val="24"/>
        </w:rPr>
      </w:pPr>
    </w:p>
    <w:p w14:paraId="7C1230D4" w14:textId="0A58E828" w:rsidR="00E001FE" w:rsidRPr="00CD0825" w:rsidRDefault="00475D9B" w:rsidP="00CD0825">
      <w:pPr>
        <w:rPr>
          <w:rFonts w:ascii="Verdana" w:hAnsi="Verdana"/>
          <w:sz w:val="24"/>
          <w:szCs w:val="24"/>
        </w:rPr>
      </w:pPr>
      <w:r w:rsidRPr="003948F8">
        <w:rPr>
          <w:rFonts w:ascii="Times New Roman" w:hAnsi="Times New Roman" w:cs="Times New Roman"/>
          <w:b/>
          <w:bCs/>
          <w:sz w:val="28"/>
          <w:szCs w:val="28"/>
        </w:rPr>
        <w:t xml:space="preserve">1. </w:t>
      </w:r>
      <w:r w:rsidR="002D2E8A" w:rsidRPr="003948F8">
        <w:rPr>
          <w:rFonts w:ascii="Times New Roman" w:hAnsi="Times New Roman" w:cs="Times New Roman"/>
          <w:b/>
          <w:bCs/>
          <w:sz w:val="28"/>
          <w:szCs w:val="28"/>
        </w:rPr>
        <w:t>MOKSLINĖ APŽVALGA</w:t>
      </w:r>
    </w:p>
    <w:p w14:paraId="77A1F220" w14:textId="07085BEB" w:rsidR="006D359D" w:rsidRPr="003948F8" w:rsidRDefault="006D359D" w:rsidP="003948F8">
      <w:pPr>
        <w:ind w:firstLine="567"/>
        <w:jc w:val="both"/>
        <w:rPr>
          <w:rFonts w:ascii="Times New Roman" w:hAnsi="Times New Roman" w:cs="Times New Roman"/>
          <w:sz w:val="24"/>
          <w:szCs w:val="24"/>
        </w:rPr>
      </w:pPr>
      <w:r w:rsidRPr="003948F8">
        <w:rPr>
          <w:rFonts w:ascii="Times New Roman" w:hAnsi="Times New Roman" w:cs="Times New Roman"/>
          <w:sz w:val="24"/>
          <w:szCs w:val="24"/>
        </w:rPr>
        <w:t>Veterinarinis vaistas gaminamas ir kontroliuojamas taikant patvirtintus tyrimo metodus ir testus, kurie užtikrina į rinką išleisto produkto nuoseklumą.</w:t>
      </w:r>
    </w:p>
    <w:p w14:paraId="1AD29C6E" w14:textId="064BC565" w:rsidR="006D359D" w:rsidRPr="003948F8" w:rsidRDefault="006D359D" w:rsidP="003948F8">
      <w:pPr>
        <w:ind w:firstLine="567"/>
        <w:jc w:val="both"/>
        <w:rPr>
          <w:rFonts w:ascii="Times New Roman" w:hAnsi="Times New Roman" w:cs="Times New Roman"/>
          <w:sz w:val="24"/>
          <w:szCs w:val="24"/>
        </w:rPr>
      </w:pPr>
      <w:r w:rsidRPr="003948F8">
        <w:rPr>
          <w:rFonts w:ascii="Times New Roman" w:hAnsi="Times New Roman" w:cs="Times New Roman"/>
          <w:sz w:val="24"/>
          <w:szCs w:val="24"/>
        </w:rPr>
        <w:t>Įrodyta, kad veterinarinis vaistas  gali būti saugiai naudojamas tikslinėms rūšims</w:t>
      </w:r>
      <w:r w:rsidR="000D66A0" w:rsidRPr="003948F8">
        <w:rPr>
          <w:rFonts w:ascii="Times New Roman" w:hAnsi="Times New Roman" w:cs="Times New Roman"/>
          <w:sz w:val="24"/>
          <w:szCs w:val="24"/>
        </w:rPr>
        <w:t>; pastebėt</w:t>
      </w:r>
      <w:r w:rsidR="00CD0825">
        <w:rPr>
          <w:rFonts w:ascii="Times New Roman" w:hAnsi="Times New Roman" w:cs="Times New Roman"/>
          <w:sz w:val="24"/>
          <w:szCs w:val="24"/>
        </w:rPr>
        <w:t>i nepageidaujami</w:t>
      </w:r>
      <w:r w:rsidR="000D66A0" w:rsidRPr="003948F8">
        <w:rPr>
          <w:rFonts w:ascii="Times New Roman" w:hAnsi="Times New Roman" w:cs="Times New Roman"/>
          <w:sz w:val="24"/>
          <w:szCs w:val="24"/>
        </w:rPr>
        <w:t xml:space="preserve"> r</w:t>
      </w:r>
      <w:r w:rsidR="00CD0825">
        <w:rPr>
          <w:rFonts w:ascii="Times New Roman" w:hAnsi="Times New Roman" w:cs="Times New Roman"/>
          <w:sz w:val="24"/>
          <w:szCs w:val="24"/>
        </w:rPr>
        <w:t xml:space="preserve">eiškiniai </w:t>
      </w:r>
      <w:r w:rsidR="000D66A0" w:rsidRPr="003948F8">
        <w:rPr>
          <w:rFonts w:ascii="Times New Roman" w:hAnsi="Times New Roman" w:cs="Times New Roman"/>
          <w:sz w:val="24"/>
          <w:szCs w:val="24"/>
        </w:rPr>
        <w:t>yra nurodyt</w:t>
      </w:r>
      <w:r w:rsidR="00CD0825">
        <w:rPr>
          <w:rFonts w:ascii="Times New Roman" w:hAnsi="Times New Roman" w:cs="Times New Roman"/>
          <w:sz w:val="24"/>
          <w:szCs w:val="24"/>
        </w:rPr>
        <w:t>i</w:t>
      </w:r>
      <w:r w:rsidR="000D66A0" w:rsidRPr="003948F8">
        <w:rPr>
          <w:rFonts w:ascii="Times New Roman" w:hAnsi="Times New Roman" w:cs="Times New Roman"/>
          <w:sz w:val="24"/>
          <w:szCs w:val="24"/>
        </w:rPr>
        <w:t xml:space="preserve"> veterinarinio vaisto apraše</w:t>
      </w:r>
      <w:r w:rsidRPr="003948F8">
        <w:rPr>
          <w:rFonts w:ascii="Times New Roman" w:hAnsi="Times New Roman" w:cs="Times New Roman"/>
          <w:sz w:val="24"/>
          <w:szCs w:val="24"/>
        </w:rPr>
        <w:t>.</w:t>
      </w:r>
    </w:p>
    <w:p w14:paraId="1CC7E388" w14:textId="2D9DD85D" w:rsidR="006D359D" w:rsidRPr="003948F8" w:rsidRDefault="006D359D" w:rsidP="003948F8">
      <w:pPr>
        <w:ind w:firstLine="567"/>
        <w:jc w:val="both"/>
        <w:rPr>
          <w:rFonts w:ascii="Times New Roman" w:hAnsi="Times New Roman" w:cs="Times New Roman"/>
          <w:sz w:val="24"/>
          <w:szCs w:val="24"/>
        </w:rPr>
      </w:pPr>
      <w:r w:rsidRPr="003948F8">
        <w:rPr>
          <w:rFonts w:ascii="Times New Roman" w:hAnsi="Times New Roman" w:cs="Times New Roman"/>
          <w:sz w:val="24"/>
          <w:szCs w:val="24"/>
        </w:rPr>
        <w:t>Veterinarinis vaistas yra saugus naudotojui, maisto produktų iš gydytų gyvūnų vartotojui ir aplinkai, kai naudojamas pagal rekomendacijas, nurodytas veterinarinio vaisto apraše. Tinkami įspėjimai ir atsargumo priemonės nurodyti veterinarinio vaisto apraše.</w:t>
      </w:r>
      <w:r w:rsidR="000D66A0" w:rsidRPr="003948F8">
        <w:rPr>
          <w:rFonts w:ascii="Times New Roman" w:hAnsi="Times New Roman" w:cs="Times New Roman"/>
          <w:sz w:val="24"/>
          <w:szCs w:val="24"/>
        </w:rPr>
        <w:t xml:space="preserve"> </w:t>
      </w:r>
    </w:p>
    <w:p w14:paraId="3B709B65" w14:textId="3D23E423" w:rsidR="006D359D" w:rsidRPr="003948F8" w:rsidRDefault="006D359D" w:rsidP="003948F8">
      <w:pPr>
        <w:ind w:firstLine="567"/>
        <w:jc w:val="both"/>
        <w:rPr>
          <w:rFonts w:ascii="Times New Roman" w:hAnsi="Times New Roman" w:cs="Times New Roman"/>
          <w:sz w:val="24"/>
          <w:szCs w:val="24"/>
        </w:rPr>
      </w:pPr>
      <w:r w:rsidRPr="003948F8">
        <w:rPr>
          <w:rFonts w:ascii="Times New Roman" w:hAnsi="Times New Roman" w:cs="Times New Roman"/>
          <w:sz w:val="24"/>
          <w:szCs w:val="24"/>
        </w:rPr>
        <w:t xml:space="preserve">Veterinarinio vaisto veiksmingumas buvo įrodytas pagal </w:t>
      </w:r>
      <w:r w:rsidR="00345E62" w:rsidRPr="003948F8">
        <w:rPr>
          <w:rFonts w:ascii="Times New Roman" w:hAnsi="Times New Roman" w:cs="Times New Roman"/>
          <w:sz w:val="24"/>
          <w:szCs w:val="24"/>
        </w:rPr>
        <w:t xml:space="preserve">veterinarinio vaisto apraše </w:t>
      </w:r>
      <w:r w:rsidRPr="003948F8">
        <w:rPr>
          <w:rFonts w:ascii="Times New Roman" w:hAnsi="Times New Roman" w:cs="Times New Roman"/>
          <w:sz w:val="24"/>
          <w:szCs w:val="24"/>
        </w:rPr>
        <w:t xml:space="preserve"> pateiktus teiginius.</w:t>
      </w:r>
    </w:p>
    <w:p w14:paraId="380C36C1" w14:textId="16A10438" w:rsidR="006D359D" w:rsidRDefault="006D359D" w:rsidP="00F20C3F">
      <w:pPr>
        <w:ind w:firstLine="567"/>
        <w:jc w:val="both"/>
        <w:rPr>
          <w:rFonts w:ascii="Times New Roman" w:hAnsi="Times New Roman" w:cs="Times New Roman"/>
          <w:sz w:val="24"/>
          <w:szCs w:val="24"/>
        </w:rPr>
      </w:pPr>
      <w:r w:rsidRPr="003948F8">
        <w:rPr>
          <w:rFonts w:ascii="Times New Roman" w:hAnsi="Times New Roman" w:cs="Times New Roman"/>
          <w:sz w:val="24"/>
          <w:szCs w:val="24"/>
        </w:rPr>
        <w:t xml:space="preserve">Bendra rizikos ir naudos analizė yra palanki </w:t>
      </w:r>
      <w:r w:rsidR="00345E62" w:rsidRPr="003948F8">
        <w:rPr>
          <w:rFonts w:ascii="Times New Roman" w:hAnsi="Times New Roman" w:cs="Times New Roman"/>
          <w:sz w:val="24"/>
          <w:szCs w:val="24"/>
        </w:rPr>
        <w:t>veterinarini</w:t>
      </w:r>
      <w:r w:rsidR="000908A4">
        <w:rPr>
          <w:rFonts w:ascii="Times New Roman" w:hAnsi="Times New Roman" w:cs="Times New Roman"/>
          <w:sz w:val="24"/>
          <w:szCs w:val="24"/>
        </w:rPr>
        <w:t>am</w:t>
      </w:r>
      <w:r w:rsidR="00345E62" w:rsidRPr="003948F8">
        <w:rPr>
          <w:rFonts w:ascii="Times New Roman" w:hAnsi="Times New Roman" w:cs="Times New Roman"/>
          <w:sz w:val="24"/>
          <w:szCs w:val="24"/>
        </w:rPr>
        <w:t xml:space="preserve"> vaist</w:t>
      </w:r>
      <w:r w:rsidR="000908A4">
        <w:rPr>
          <w:rFonts w:ascii="Times New Roman" w:hAnsi="Times New Roman" w:cs="Times New Roman"/>
          <w:sz w:val="24"/>
          <w:szCs w:val="24"/>
        </w:rPr>
        <w:t>ui</w:t>
      </w:r>
      <w:r w:rsidR="00345E62" w:rsidRPr="003948F8">
        <w:rPr>
          <w:rFonts w:ascii="Times New Roman" w:hAnsi="Times New Roman" w:cs="Times New Roman"/>
          <w:sz w:val="24"/>
          <w:szCs w:val="24"/>
        </w:rPr>
        <w:t xml:space="preserve"> registr</w:t>
      </w:r>
      <w:r w:rsidR="000908A4">
        <w:rPr>
          <w:rFonts w:ascii="Times New Roman" w:hAnsi="Times New Roman" w:cs="Times New Roman"/>
          <w:sz w:val="24"/>
          <w:szCs w:val="24"/>
        </w:rPr>
        <w:t>uoti</w:t>
      </w:r>
      <w:r w:rsidR="00345E62" w:rsidRPr="003948F8">
        <w:rPr>
          <w:rFonts w:ascii="Times New Roman" w:hAnsi="Times New Roman" w:cs="Times New Roman"/>
          <w:sz w:val="24"/>
          <w:szCs w:val="24"/>
        </w:rPr>
        <w:t xml:space="preserve"> Lietuvo</w:t>
      </w:r>
      <w:r w:rsidR="00CD0825">
        <w:rPr>
          <w:rFonts w:ascii="Times New Roman" w:hAnsi="Times New Roman" w:cs="Times New Roman"/>
          <w:sz w:val="24"/>
          <w:szCs w:val="24"/>
        </w:rPr>
        <w:t>s Respublikoje</w:t>
      </w:r>
      <w:r w:rsidR="00345E62" w:rsidRPr="003948F8">
        <w:rPr>
          <w:rFonts w:ascii="Times New Roman" w:hAnsi="Times New Roman" w:cs="Times New Roman"/>
          <w:sz w:val="24"/>
          <w:szCs w:val="24"/>
        </w:rPr>
        <w:t>.</w:t>
      </w:r>
    </w:p>
    <w:p w14:paraId="0FCA380E" w14:textId="77777777" w:rsidR="000908A4" w:rsidRPr="003948F8" w:rsidRDefault="000908A4" w:rsidP="003948F8">
      <w:pPr>
        <w:jc w:val="both"/>
        <w:rPr>
          <w:rFonts w:ascii="Times New Roman" w:hAnsi="Times New Roman" w:cs="Times New Roman"/>
          <w:sz w:val="24"/>
          <w:szCs w:val="24"/>
        </w:rPr>
      </w:pPr>
    </w:p>
    <w:p w14:paraId="53C08D41" w14:textId="4CDDA200" w:rsidR="00345E62" w:rsidRPr="003948F8" w:rsidRDefault="000908A4" w:rsidP="003948F8">
      <w:pPr>
        <w:jc w:val="center"/>
        <w:rPr>
          <w:rFonts w:ascii="Times New Roman" w:hAnsi="Times New Roman" w:cs="Times New Roman"/>
          <w:sz w:val="28"/>
          <w:szCs w:val="28"/>
        </w:rPr>
      </w:pPr>
      <w:r w:rsidRPr="00B048CB">
        <w:rPr>
          <w:rFonts w:ascii="Times New Roman" w:hAnsi="Times New Roman" w:cs="Times New Roman"/>
          <w:b/>
          <w:bCs/>
          <w:sz w:val="28"/>
          <w:szCs w:val="28"/>
        </w:rPr>
        <w:t>2.</w:t>
      </w:r>
      <w:r>
        <w:rPr>
          <w:rFonts w:ascii="Times New Roman" w:hAnsi="Times New Roman" w:cs="Times New Roman"/>
          <w:sz w:val="28"/>
          <w:szCs w:val="28"/>
        </w:rPr>
        <w:t xml:space="preserve"> </w:t>
      </w:r>
      <w:r w:rsidR="00345E62" w:rsidRPr="003948F8">
        <w:rPr>
          <w:rFonts w:ascii="Times New Roman" w:hAnsi="Times New Roman" w:cs="Times New Roman"/>
          <w:b/>
          <w:bCs/>
          <w:sz w:val="28"/>
          <w:szCs w:val="28"/>
        </w:rPr>
        <w:t>KOKYBĖS DOKUMENTAI</w:t>
      </w:r>
      <w:r w:rsidR="00345E62" w:rsidRPr="003948F8">
        <w:rPr>
          <w:rFonts w:ascii="Times New Roman" w:hAnsi="Times New Roman" w:cs="Times New Roman"/>
          <w:sz w:val="28"/>
          <w:szCs w:val="28"/>
        </w:rPr>
        <w:t xml:space="preserve"> (fizikinė ir cheminė, biologinė ar mikrobiologinė informacija)</w:t>
      </w:r>
    </w:p>
    <w:p w14:paraId="1FB45B6B" w14:textId="21ACF117" w:rsidR="00345E62" w:rsidRPr="003948F8" w:rsidRDefault="008072D3" w:rsidP="003948F8">
      <w:pPr>
        <w:rPr>
          <w:rFonts w:ascii="Times New Roman" w:hAnsi="Times New Roman" w:cs="Times New Roman"/>
          <w:b/>
          <w:bCs/>
          <w:sz w:val="24"/>
          <w:szCs w:val="24"/>
        </w:rPr>
      </w:pPr>
      <w:r w:rsidRPr="003948F8">
        <w:rPr>
          <w:rFonts w:ascii="Times New Roman" w:hAnsi="Times New Roman" w:cs="Times New Roman"/>
          <w:b/>
          <w:bCs/>
          <w:sz w:val="24"/>
          <w:szCs w:val="24"/>
        </w:rPr>
        <w:t xml:space="preserve">A. </w:t>
      </w:r>
      <w:r w:rsidR="00345E62" w:rsidRPr="003948F8">
        <w:rPr>
          <w:rFonts w:ascii="Times New Roman" w:hAnsi="Times New Roman" w:cs="Times New Roman"/>
          <w:b/>
          <w:bCs/>
          <w:sz w:val="24"/>
          <w:szCs w:val="24"/>
        </w:rPr>
        <w:t>Veterinarinio vaisto apibūdinimas</w:t>
      </w:r>
    </w:p>
    <w:p w14:paraId="680C2810" w14:textId="680E02D4" w:rsidR="009461B3" w:rsidRPr="00C5515C" w:rsidRDefault="000D66A0" w:rsidP="003948F8">
      <w:pPr>
        <w:spacing w:after="0"/>
        <w:ind w:firstLine="567"/>
        <w:jc w:val="both"/>
        <w:rPr>
          <w:rFonts w:ascii="Times New Roman" w:hAnsi="Times New Roman" w:cs="Times New Roman"/>
          <w:bCs/>
          <w:sz w:val="24"/>
          <w:szCs w:val="24"/>
          <w:lang w:eastAsia="lt-LT"/>
        </w:rPr>
      </w:pPr>
      <w:r w:rsidRPr="003948F8">
        <w:rPr>
          <w:rFonts w:ascii="Times New Roman" w:hAnsi="Times New Roman" w:cs="Times New Roman"/>
          <w:sz w:val="24"/>
          <w:szCs w:val="24"/>
        </w:rPr>
        <w:t xml:space="preserve">Veterinarinis vaistas, </w:t>
      </w:r>
      <w:r w:rsidR="00C5515C" w:rsidRPr="00615BE7">
        <w:rPr>
          <w:rFonts w:ascii="Times New Roman" w:hAnsi="Times New Roman" w:cs="Times New Roman"/>
          <w:sz w:val="28"/>
          <w:szCs w:val="28"/>
        </w:rPr>
        <w:t>ALBENOL-100</w:t>
      </w:r>
      <w:r w:rsidR="00245710">
        <w:rPr>
          <w:rFonts w:ascii="Times New Roman" w:hAnsi="Times New Roman" w:cs="Times New Roman"/>
          <w:sz w:val="24"/>
          <w:szCs w:val="24"/>
        </w:rPr>
        <w:t>,</w:t>
      </w:r>
      <w:r w:rsidR="00245710" w:rsidRPr="00245710">
        <w:rPr>
          <w:rFonts w:ascii="Times New Roman" w:hAnsi="Times New Roman" w:cs="Times New Roman"/>
          <w:sz w:val="24"/>
          <w:szCs w:val="24"/>
        </w:rPr>
        <w:t xml:space="preserve"> </w:t>
      </w:r>
      <w:r w:rsidRPr="003948F8">
        <w:rPr>
          <w:rFonts w:ascii="Times New Roman" w:hAnsi="Times New Roman" w:cs="Times New Roman"/>
          <w:sz w:val="24"/>
          <w:szCs w:val="24"/>
        </w:rPr>
        <w:t xml:space="preserve">yra </w:t>
      </w:r>
      <w:r w:rsidR="00C5515C">
        <w:rPr>
          <w:rFonts w:ascii="Times New Roman" w:hAnsi="Times New Roman" w:cs="Times New Roman"/>
          <w:sz w:val="24"/>
          <w:szCs w:val="24"/>
        </w:rPr>
        <w:t>geriamoji suspensija</w:t>
      </w:r>
      <w:r w:rsidRPr="003948F8">
        <w:rPr>
          <w:rFonts w:ascii="Times New Roman" w:hAnsi="Times New Roman" w:cs="Times New Roman"/>
          <w:sz w:val="24"/>
          <w:szCs w:val="24"/>
        </w:rPr>
        <w:t xml:space="preserve">. </w:t>
      </w:r>
      <w:r w:rsidR="009461B3" w:rsidRPr="003948F8">
        <w:rPr>
          <w:rFonts w:ascii="Times New Roman" w:hAnsi="Times New Roman" w:cs="Times New Roman"/>
          <w:sz w:val="24"/>
          <w:szCs w:val="24"/>
        </w:rPr>
        <w:t>Veterinarinio vaisto</w:t>
      </w:r>
      <w:r w:rsidRPr="003948F8">
        <w:rPr>
          <w:rFonts w:ascii="Times New Roman" w:hAnsi="Times New Roman" w:cs="Times New Roman"/>
          <w:sz w:val="24"/>
          <w:szCs w:val="24"/>
        </w:rPr>
        <w:t xml:space="preserve"> </w:t>
      </w:r>
      <w:r w:rsidR="009461B3" w:rsidRPr="003948F8">
        <w:rPr>
          <w:rFonts w:ascii="Times New Roman" w:hAnsi="Times New Roman" w:cs="Times New Roman"/>
          <w:sz w:val="24"/>
          <w:szCs w:val="24"/>
        </w:rPr>
        <w:t xml:space="preserve">sudėtyje yra </w:t>
      </w:r>
      <w:r w:rsidR="00245710">
        <w:rPr>
          <w:rFonts w:ascii="Times New Roman" w:hAnsi="Times New Roman" w:cs="Times New Roman"/>
          <w:sz w:val="24"/>
          <w:szCs w:val="24"/>
        </w:rPr>
        <w:t>viena</w:t>
      </w:r>
      <w:r w:rsidR="009461B3" w:rsidRPr="003948F8">
        <w:rPr>
          <w:rFonts w:ascii="Times New Roman" w:hAnsi="Times New Roman" w:cs="Times New Roman"/>
          <w:sz w:val="24"/>
          <w:szCs w:val="24"/>
        </w:rPr>
        <w:t xml:space="preserve"> veiklio</w:t>
      </w:r>
      <w:r w:rsidR="00245710">
        <w:rPr>
          <w:rFonts w:ascii="Times New Roman" w:hAnsi="Times New Roman" w:cs="Times New Roman"/>
          <w:sz w:val="24"/>
          <w:szCs w:val="24"/>
        </w:rPr>
        <w:t>ji</w:t>
      </w:r>
      <w:r w:rsidR="009461B3" w:rsidRPr="003948F8">
        <w:rPr>
          <w:rFonts w:ascii="Times New Roman" w:hAnsi="Times New Roman" w:cs="Times New Roman"/>
          <w:sz w:val="24"/>
          <w:szCs w:val="24"/>
        </w:rPr>
        <w:t xml:space="preserve"> medžiag</w:t>
      </w:r>
      <w:r w:rsidR="00245710">
        <w:rPr>
          <w:rFonts w:ascii="Times New Roman" w:hAnsi="Times New Roman" w:cs="Times New Roman"/>
          <w:sz w:val="24"/>
          <w:szCs w:val="24"/>
        </w:rPr>
        <w:t>a</w:t>
      </w:r>
      <w:r w:rsidR="009461B3" w:rsidRPr="003948F8">
        <w:rPr>
          <w:rFonts w:ascii="Times New Roman" w:hAnsi="Times New Roman" w:cs="Times New Roman"/>
          <w:sz w:val="24"/>
          <w:szCs w:val="24"/>
        </w:rPr>
        <w:t>:</w:t>
      </w:r>
      <w:r w:rsidRPr="003948F8">
        <w:rPr>
          <w:rFonts w:ascii="Times New Roman" w:hAnsi="Times New Roman" w:cs="Times New Roman"/>
          <w:sz w:val="24"/>
          <w:szCs w:val="24"/>
        </w:rPr>
        <w:t xml:space="preserve"> </w:t>
      </w:r>
      <w:proofErr w:type="spellStart"/>
      <w:r w:rsidR="00C5515C">
        <w:rPr>
          <w:rFonts w:ascii="Times New Roman" w:hAnsi="Times New Roman" w:cs="Times New Roman"/>
          <w:iCs/>
          <w:sz w:val="24"/>
          <w:szCs w:val="24"/>
        </w:rPr>
        <w:t>albendazolas</w:t>
      </w:r>
      <w:proofErr w:type="spellEnd"/>
      <w:r w:rsidR="009461B3" w:rsidRPr="00A567E8">
        <w:rPr>
          <w:rFonts w:ascii="Times New Roman" w:hAnsi="Times New Roman" w:cs="Times New Roman"/>
          <w:iCs/>
          <w:sz w:val="24"/>
          <w:szCs w:val="24"/>
        </w:rPr>
        <w:t xml:space="preserve">, kurio yra </w:t>
      </w:r>
      <w:r w:rsidR="00245710">
        <w:rPr>
          <w:rFonts w:ascii="Times New Roman" w:hAnsi="Times New Roman" w:cs="Times New Roman"/>
          <w:iCs/>
          <w:sz w:val="24"/>
          <w:szCs w:val="24"/>
        </w:rPr>
        <w:t>10</w:t>
      </w:r>
      <w:r w:rsidR="00C5515C">
        <w:rPr>
          <w:rFonts w:ascii="Times New Roman" w:hAnsi="Times New Roman" w:cs="Times New Roman"/>
          <w:iCs/>
          <w:sz w:val="24"/>
          <w:szCs w:val="24"/>
        </w:rPr>
        <w:t>0</w:t>
      </w:r>
      <w:r w:rsidR="009461B3" w:rsidRPr="00A567E8">
        <w:rPr>
          <w:rFonts w:ascii="Times New Roman" w:hAnsi="Times New Roman" w:cs="Times New Roman"/>
          <w:iCs/>
          <w:sz w:val="24"/>
          <w:szCs w:val="24"/>
        </w:rPr>
        <w:t xml:space="preserve"> mg. Veterinarinio vaisto pagalbinės medžiagos yra</w:t>
      </w:r>
      <w:r w:rsidR="00C5515C">
        <w:rPr>
          <w:rFonts w:ascii="Times New Roman" w:hAnsi="Times New Roman" w:cs="Times New Roman"/>
          <w:iCs/>
          <w:sz w:val="24"/>
          <w:szCs w:val="24"/>
        </w:rPr>
        <w:t>:</w:t>
      </w:r>
      <w:r w:rsidR="009461B3" w:rsidRPr="00A567E8">
        <w:rPr>
          <w:rFonts w:ascii="Times New Roman" w:hAnsi="Times New Roman" w:cs="Times New Roman"/>
          <w:iCs/>
          <w:sz w:val="24"/>
          <w:szCs w:val="24"/>
        </w:rPr>
        <w:t xml:space="preserve"> </w:t>
      </w:r>
      <w:r w:rsidR="00C5515C" w:rsidRPr="00C5515C">
        <w:rPr>
          <w:rFonts w:ascii="Times New Roman" w:hAnsi="Times New Roman" w:cs="Times New Roman"/>
          <w:iCs/>
          <w:sz w:val="24"/>
          <w:szCs w:val="24"/>
        </w:rPr>
        <w:t xml:space="preserve">metilo </w:t>
      </w:r>
      <w:proofErr w:type="spellStart"/>
      <w:r w:rsidR="00C5515C" w:rsidRPr="00C5515C">
        <w:rPr>
          <w:rFonts w:ascii="Times New Roman" w:hAnsi="Times New Roman" w:cs="Times New Roman"/>
          <w:iCs/>
          <w:sz w:val="24"/>
          <w:szCs w:val="24"/>
        </w:rPr>
        <w:t>parahidroksibenzoatas</w:t>
      </w:r>
      <w:proofErr w:type="spellEnd"/>
      <w:r w:rsidR="00C5515C" w:rsidRPr="00C5515C">
        <w:rPr>
          <w:rFonts w:ascii="Times New Roman" w:hAnsi="Times New Roman" w:cs="Times New Roman"/>
          <w:iCs/>
          <w:sz w:val="24"/>
          <w:szCs w:val="24"/>
        </w:rPr>
        <w:t xml:space="preserve">, </w:t>
      </w:r>
      <w:proofErr w:type="spellStart"/>
      <w:r w:rsidR="00C5515C" w:rsidRPr="00C5515C">
        <w:rPr>
          <w:rFonts w:ascii="Times New Roman" w:hAnsi="Times New Roman" w:cs="Times New Roman"/>
          <w:iCs/>
          <w:sz w:val="24"/>
          <w:szCs w:val="24"/>
        </w:rPr>
        <w:t>propilo</w:t>
      </w:r>
      <w:proofErr w:type="spellEnd"/>
      <w:r w:rsidR="00C5515C" w:rsidRPr="00C5515C">
        <w:rPr>
          <w:rFonts w:ascii="Times New Roman" w:hAnsi="Times New Roman" w:cs="Times New Roman"/>
          <w:iCs/>
          <w:sz w:val="24"/>
          <w:szCs w:val="24"/>
        </w:rPr>
        <w:t xml:space="preserve"> </w:t>
      </w:r>
      <w:proofErr w:type="spellStart"/>
      <w:r w:rsidR="00C5515C" w:rsidRPr="00C5515C">
        <w:rPr>
          <w:rFonts w:ascii="Times New Roman" w:hAnsi="Times New Roman" w:cs="Times New Roman"/>
          <w:iCs/>
          <w:sz w:val="24"/>
          <w:szCs w:val="24"/>
        </w:rPr>
        <w:t>parahidroksibenzoatas</w:t>
      </w:r>
      <w:proofErr w:type="spellEnd"/>
      <w:r w:rsidR="00C5515C" w:rsidRPr="00C5515C">
        <w:rPr>
          <w:rFonts w:ascii="Times New Roman" w:hAnsi="Times New Roman" w:cs="Times New Roman"/>
          <w:iCs/>
          <w:sz w:val="24"/>
          <w:szCs w:val="24"/>
        </w:rPr>
        <w:t xml:space="preserve">, žaliasis S (E142), </w:t>
      </w:r>
      <w:proofErr w:type="spellStart"/>
      <w:r w:rsidR="00C5515C" w:rsidRPr="00C5515C">
        <w:rPr>
          <w:rFonts w:ascii="Times New Roman" w:hAnsi="Times New Roman" w:cs="Times New Roman"/>
          <w:iCs/>
          <w:sz w:val="24"/>
          <w:szCs w:val="24"/>
        </w:rPr>
        <w:t>ksantano</w:t>
      </w:r>
      <w:proofErr w:type="spellEnd"/>
      <w:r w:rsidR="00C5515C" w:rsidRPr="00C5515C">
        <w:rPr>
          <w:rFonts w:ascii="Times New Roman" w:hAnsi="Times New Roman" w:cs="Times New Roman"/>
          <w:iCs/>
          <w:sz w:val="24"/>
          <w:szCs w:val="24"/>
        </w:rPr>
        <w:t xml:space="preserve"> lipai, </w:t>
      </w:r>
      <w:proofErr w:type="spellStart"/>
      <w:r w:rsidR="00C5515C" w:rsidRPr="00C5515C">
        <w:rPr>
          <w:rFonts w:ascii="Times New Roman" w:hAnsi="Times New Roman" w:cs="Times New Roman"/>
          <w:iCs/>
          <w:sz w:val="24"/>
          <w:szCs w:val="24"/>
        </w:rPr>
        <w:t>simetikonas</w:t>
      </w:r>
      <w:proofErr w:type="spellEnd"/>
      <w:r w:rsidR="00C5515C" w:rsidRPr="00C5515C">
        <w:rPr>
          <w:rFonts w:ascii="Times New Roman" w:hAnsi="Times New Roman" w:cs="Times New Roman"/>
          <w:iCs/>
          <w:sz w:val="24"/>
          <w:szCs w:val="24"/>
        </w:rPr>
        <w:t xml:space="preserve">, </w:t>
      </w:r>
      <w:proofErr w:type="spellStart"/>
      <w:r w:rsidR="00C5515C">
        <w:rPr>
          <w:rFonts w:ascii="Times New Roman" w:hAnsi="Times New Roman" w:cs="Times New Roman"/>
          <w:iCs/>
          <w:sz w:val="24"/>
          <w:szCs w:val="24"/>
        </w:rPr>
        <w:t>t</w:t>
      </w:r>
      <w:r w:rsidR="00C5515C" w:rsidRPr="00C5515C">
        <w:rPr>
          <w:rFonts w:ascii="Times New Roman" w:hAnsi="Times New Roman" w:cs="Times New Roman"/>
          <w:iCs/>
          <w:sz w:val="24"/>
          <w:szCs w:val="24"/>
        </w:rPr>
        <w:t>rinatrio</w:t>
      </w:r>
      <w:proofErr w:type="spellEnd"/>
      <w:r w:rsidR="00C5515C" w:rsidRPr="00C5515C">
        <w:rPr>
          <w:rFonts w:ascii="Times New Roman" w:hAnsi="Times New Roman" w:cs="Times New Roman"/>
          <w:iCs/>
          <w:sz w:val="24"/>
          <w:szCs w:val="24"/>
        </w:rPr>
        <w:t xml:space="preserve"> citratas, </w:t>
      </w:r>
      <w:proofErr w:type="spellStart"/>
      <w:r w:rsidR="00C5515C" w:rsidRPr="00C5515C">
        <w:rPr>
          <w:rFonts w:ascii="Times New Roman" w:hAnsi="Times New Roman" w:cs="Times New Roman"/>
          <w:iCs/>
          <w:sz w:val="24"/>
          <w:szCs w:val="24"/>
        </w:rPr>
        <w:t>povidonas</w:t>
      </w:r>
      <w:proofErr w:type="spellEnd"/>
      <w:r w:rsidR="00C5515C" w:rsidRPr="00C5515C">
        <w:rPr>
          <w:rFonts w:ascii="Times New Roman" w:hAnsi="Times New Roman" w:cs="Times New Roman"/>
          <w:iCs/>
          <w:sz w:val="24"/>
          <w:szCs w:val="24"/>
        </w:rPr>
        <w:t xml:space="preserve"> K90, </w:t>
      </w:r>
      <w:proofErr w:type="spellStart"/>
      <w:r w:rsidR="00C5515C" w:rsidRPr="00C5515C">
        <w:rPr>
          <w:rFonts w:ascii="Times New Roman" w:hAnsi="Times New Roman" w:cs="Times New Roman"/>
          <w:iCs/>
          <w:sz w:val="24"/>
          <w:szCs w:val="24"/>
        </w:rPr>
        <w:t>polisorbatas</w:t>
      </w:r>
      <w:proofErr w:type="spellEnd"/>
      <w:r w:rsidR="00C5515C" w:rsidRPr="00C5515C">
        <w:rPr>
          <w:rFonts w:ascii="Times New Roman" w:hAnsi="Times New Roman" w:cs="Times New Roman"/>
          <w:iCs/>
          <w:sz w:val="24"/>
          <w:szCs w:val="24"/>
        </w:rPr>
        <w:t xml:space="preserve"> 20, </w:t>
      </w:r>
      <w:proofErr w:type="spellStart"/>
      <w:r w:rsidR="00C5515C" w:rsidRPr="00C5515C">
        <w:rPr>
          <w:rFonts w:ascii="Times New Roman" w:hAnsi="Times New Roman" w:cs="Times New Roman"/>
          <w:iCs/>
          <w:sz w:val="24"/>
          <w:szCs w:val="24"/>
        </w:rPr>
        <w:t>propilenglikolis</w:t>
      </w:r>
      <w:proofErr w:type="spellEnd"/>
      <w:r w:rsidR="00C5515C" w:rsidRPr="00C5515C">
        <w:rPr>
          <w:rFonts w:ascii="Times New Roman" w:hAnsi="Times New Roman" w:cs="Times New Roman"/>
          <w:iCs/>
          <w:sz w:val="24"/>
          <w:szCs w:val="24"/>
        </w:rPr>
        <w:t xml:space="preserve">, citrinų rūgštis, bevandenė </w:t>
      </w:r>
      <w:r w:rsidR="00245710" w:rsidRPr="00C5515C">
        <w:rPr>
          <w:rFonts w:ascii="Times New Roman" w:hAnsi="Times New Roman" w:cs="Times New Roman"/>
          <w:iCs/>
          <w:sz w:val="24"/>
          <w:szCs w:val="24"/>
        </w:rPr>
        <w:t xml:space="preserve">ir </w:t>
      </w:r>
      <w:r w:rsidR="00C5515C" w:rsidRPr="00C5515C">
        <w:rPr>
          <w:rFonts w:ascii="Times New Roman" w:hAnsi="Times New Roman" w:cs="Times New Roman"/>
          <w:iCs/>
          <w:sz w:val="24"/>
          <w:szCs w:val="24"/>
        </w:rPr>
        <w:t>išgrynintas</w:t>
      </w:r>
      <w:r w:rsidR="00245710" w:rsidRPr="00C5515C">
        <w:rPr>
          <w:rFonts w:ascii="Times New Roman" w:hAnsi="Times New Roman" w:cs="Times New Roman"/>
          <w:iCs/>
          <w:sz w:val="24"/>
          <w:szCs w:val="24"/>
        </w:rPr>
        <w:t xml:space="preserve"> vanduo.</w:t>
      </w:r>
    </w:p>
    <w:p w14:paraId="68EF7C10" w14:textId="77777777" w:rsidR="006663CF" w:rsidRPr="005C5419" w:rsidRDefault="001453AA" w:rsidP="006663CF">
      <w:pPr>
        <w:spacing w:line="240" w:lineRule="auto"/>
        <w:jc w:val="both"/>
        <w:rPr>
          <w:rFonts w:ascii="Times New Roman" w:hAnsi="Times New Roman" w:cs="Times New Roman"/>
          <w:sz w:val="24"/>
          <w:szCs w:val="24"/>
        </w:rPr>
      </w:pPr>
      <w:r w:rsidRPr="005C5419">
        <w:rPr>
          <w:rFonts w:ascii="Times New Roman" w:hAnsi="Times New Roman" w:cs="Times New Roman"/>
          <w:bCs/>
          <w:sz w:val="24"/>
          <w:szCs w:val="24"/>
          <w:lang w:eastAsia="lt-LT"/>
        </w:rPr>
        <w:t xml:space="preserve">Gatavo produkto pakuotė yra tokia, kaip aprašyta </w:t>
      </w:r>
      <w:r w:rsidR="00A567E8" w:rsidRPr="005C5419">
        <w:rPr>
          <w:rFonts w:ascii="Times New Roman" w:hAnsi="Times New Roman" w:cs="Times New Roman"/>
          <w:bCs/>
          <w:sz w:val="24"/>
          <w:szCs w:val="24"/>
          <w:lang w:eastAsia="lt-LT"/>
        </w:rPr>
        <w:t>VVA</w:t>
      </w:r>
      <w:r w:rsidRPr="005C5419">
        <w:rPr>
          <w:rFonts w:ascii="Times New Roman" w:hAnsi="Times New Roman" w:cs="Times New Roman"/>
          <w:bCs/>
          <w:sz w:val="24"/>
          <w:szCs w:val="24"/>
          <w:lang w:eastAsia="lt-LT"/>
        </w:rPr>
        <w:t>, t.</w:t>
      </w:r>
      <w:r w:rsidR="00A567E8" w:rsidRPr="005C5419">
        <w:rPr>
          <w:rFonts w:ascii="Times New Roman" w:hAnsi="Times New Roman" w:cs="Times New Roman"/>
          <w:bCs/>
          <w:sz w:val="24"/>
          <w:szCs w:val="24"/>
          <w:lang w:eastAsia="lt-LT"/>
        </w:rPr>
        <w:t xml:space="preserve"> </w:t>
      </w:r>
      <w:r w:rsidRPr="005C5419">
        <w:rPr>
          <w:rFonts w:ascii="Times New Roman" w:hAnsi="Times New Roman" w:cs="Times New Roman"/>
          <w:bCs/>
          <w:sz w:val="24"/>
          <w:szCs w:val="24"/>
          <w:lang w:eastAsia="lt-LT"/>
        </w:rPr>
        <w:t xml:space="preserve">y., </w:t>
      </w:r>
      <w:r w:rsidR="006663CF" w:rsidRPr="005C5419">
        <w:rPr>
          <w:rFonts w:ascii="Times New Roman" w:hAnsi="Times New Roman" w:cs="Times New Roman"/>
          <w:sz w:val="24"/>
          <w:szCs w:val="24"/>
        </w:rPr>
        <w:t xml:space="preserve">100 ml baltas DTPE buteliukas, užsuktas DTPE/PP užsukamu dangteliu su aliuminio įdėklu ir baltas 500 ml ir 1000 ml DTPE </w:t>
      </w:r>
      <w:proofErr w:type="spellStart"/>
      <w:r w:rsidR="006663CF" w:rsidRPr="005C5419">
        <w:rPr>
          <w:rFonts w:ascii="Times New Roman" w:hAnsi="Times New Roman" w:cs="Times New Roman"/>
          <w:sz w:val="24"/>
          <w:szCs w:val="24"/>
        </w:rPr>
        <w:t>plačiakaklis</w:t>
      </w:r>
      <w:proofErr w:type="spellEnd"/>
      <w:r w:rsidR="006663CF" w:rsidRPr="005C5419">
        <w:rPr>
          <w:rFonts w:ascii="Times New Roman" w:hAnsi="Times New Roman" w:cs="Times New Roman"/>
          <w:sz w:val="24"/>
          <w:szCs w:val="24"/>
        </w:rPr>
        <w:t xml:space="preserve"> indas, užsuktas DTPE/PP užsukamu dangteliu.</w:t>
      </w:r>
    </w:p>
    <w:p w14:paraId="558EC02F" w14:textId="6D9D694C" w:rsidR="001453AA" w:rsidRPr="00A567E8" w:rsidRDefault="00557F44" w:rsidP="003948F8">
      <w:pPr>
        <w:spacing w:line="240" w:lineRule="auto"/>
        <w:ind w:firstLine="567"/>
        <w:jc w:val="both"/>
        <w:rPr>
          <w:rFonts w:ascii="Times New Roman" w:hAnsi="Times New Roman" w:cs="Times New Roman"/>
          <w:sz w:val="24"/>
          <w:szCs w:val="24"/>
        </w:rPr>
      </w:pPr>
      <w:r w:rsidRPr="00A567E8">
        <w:rPr>
          <w:rFonts w:ascii="Times New Roman" w:hAnsi="Times New Roman" w:cs="Times New Roman"/>
          <w:sz w:val="24"/>
          <w:szCs w:val="24"/>
        </w:rPr>
        <w:t>Veterinarinis vaistas</w:t>
      </w:r>
      <w:r w:rsidR="001453AA" w:rsidRPr="00A567E8">
        <w:rPr>
          <w:rFonts w:ascii="Times New Roman" w:hAnsi="Times New Roman" w:cs="Times New Roman"/>
          <w:sz w:val="24"/>
          <w:szCs w:val="24"/>
        </w:rPr>
        <w:t xml:space="preserve"> yra </w:t>
      </w:r>
      <w:r w:rsidRPr="00A567E8">
        <w:rPr>
          <w:rFonts w:ascii="Times New Roman" w:hAnsi="Times New Roman" w:cs="Times New Roman"/>
          <w:sz w:val="24"/>
          <w:szCs w:val="24"/>
        </w:rPr>
        <w:t>žinoma</w:t>
      </w:r>
      <w:r w:rsidR="001453AA" w:rsidRPr="00A567E8">
        <w:rPr>
          <w:rFonts w:ascii="Times New Roman" w:hAnsi="Times New Roman" w:cs="Times New Roman"/>
          <w:sz w:val="24"/>
          <w:szCs w:val="24"/>
        </w:rPr>
        <w:t xml:space="preserve"> farmacinė forma ir jo kūrimas yra tinkamai aprašytas pagal atitinkamas Europos gaires.</w:t>
      </w:r>
    </w:p>
    <w:p w14:paraId="3ED548F6" w14:textId="59141A53" w:rsidR="00557F44" w:rsidRPr="003948F8" w:rsidRDefault="008072D3" w:rsidP="00AC6118">
      <w:pPr>
        <w:keepNext/>
        <w:spacing w:line="240" w:lineRule="auto"/>
        <w:rPr>
          <w:rFonts w:ascii="Times New Roman" w:hAnsi="Times New Roman" w:cs="Times New Roman"/>
          <w:b/>
          <w:bCs/>
          <w:sz w:val="24"/>
          <w:szCs w:val="24"/>
        </w:rPr>
      </w:pPr>
      <w:r w:rsidRPr="003948F8">
        <w:rPr>
          <w:rFonts w:ascii="Times New Roman" w:hAnsi="Times New Roman" w:cs="Times New Roman"/>
          <w:b/>
          <w:bCs/>
          <w:sz w:val="24"/>
          <w:szCs w:val="24"/>
        </w:rPr>
        <w:lastRenderedPageBreak/>
        <w:t xml:space="preserve">B. </w:t>
      </w:r>
      <w:r w:rsidR="00557F44" w:rsidRPr="003948F8">
        <w:rPr>
          <w:rFonts w:ascii="Times New Roman" w:hAnsi="Times New Roman" w:cs="Times New Roman"/>
          <w:b/>
          <w:bCs/>
          <w:sz w:val="24"/>
          <w:szCs w:val="24"/>
        </w:rPr>
        <w:t>Veterinarinio vaisto gamyba</w:t>
      </w:r>
    </w:p>
    <w:p w14:paraId="0217A9A3" w14:textId="702B4B37" w:rsidR="00557F44" w:rsidRPr="00557F44" w:rsidRDefault="00557F44" w:rsidP="00AC6118">
      <w:pPr>
        <w:keepNext/>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Veterinarinis vaistas</w:t>
      </w:r>
      <w:r w:rsidRPr="00557F44">
        <w:rPr>
          <w:rFonts w:ascii="Times New Roman" w:hAnsi="Times New Roman" w:cs="Times New Roman"/>
          <w:sz w:val="24"/>
          <w:szCs w:val="24"/>
        </w:rPr>
        <w:t xml:space="preserve"> pagamintas </w:t>
      </w:r>
      <w:r>
        <w:rPr>
          <w:rFonts w:ascii="Times New Roman" w:hAnsi="Times New Roman" w:cs="Times New Roman"/>
          <w:sz w:val="24"/>
          <w:szCs w:val="24"/>
        </w:rPr>
        <w:t>pilnai</w:t>
      </w:r>
      <w:r w:rsidRPr="00557F44">
        <w:rPr>
          <w:rFonts w:ascii="Times New Roman" w:hAnsi="Times New Roman" w:cs="Times New Roman"/>
          <w:sz w:val="24"/>
          <w:szCs w:val="24"/>
        </w:rPr>
        <w:t xml:space="preserve"> laikantis geros gamybos praktikos principų licencijuotoje</w:t>
      </w:r>
      <w:r w:rsidR="00050F87">
        <w:rPr>
          <w:rFonts w:ascii="Times New Roman" w:hAnsi="Times New Roman" w:cs="Times New Roman"/>
          <w:sz w:val="24"/>
          <w:szCs w:val="24"/>
        </w:rPr>
        <w:t xml:space="preserve"> </w:t>
      </w:r>
      <w:r w:rsidRPr="00557F44">
        <w:rPr>
          <w:rFonts w:ascii="Times New Roman" w:hAnsi="Times New Roman" w:cs="Times New Roman"/>
          <w:sz w:val="24"/>
          <w:szCs w:val="24"/>
        </w:rPr>
        <w:t xml:space="preserve">gamybos </w:t>
      </w:r>
      <w:r>
        <w:rPr>
          <w:rFonts w:ascii="Times New Roman" w:hAnsi="Times New Roman" w:cs="Times New Roman"/>
          <w:sz w:val="24"/>
          <w:szCs w:val="24"/>
        </w:rPr>
        <w:t>įmonėje</w:t>
      </w:r>
      <w:r w:rsidRPr="00557F44">
        <w:rPr>
          <w:rFonts w:ascii="Times New Roman" w:hAnsi="Times New Roman" w:cs="Times New Roman"/>
          <w:sz w:val="24"/>
          <w:szCs w:val="24"/>
        </w:rPr>
        <w:t>.</w:t>
      </w:r>
    </w:p>
    <w:p w14:paraId="6341B50A" w14:textId="42CA5809" w:rsidR="00BF29EF" w:rsidRDefault="00557F44" w:rsidP="003948F8">
      <w:pPr>
        <w:spacing w:line="240" w:lineRule="auto"/>
        <w:ind w:firstLine="567"/>
        <w:jc w:val="both"/>
        <w:rPr>
          <w:rFonts w:ascii="Times New Roman" w:hAnsi="Times New Roman" w:cs="Times New Roman"/>
          <w:sz w:val="24"/>
          <w:szCs w:val="24"/>
        </w:rPr>
      </w:pPr>
      <w:r w:rsidRPr="00557F44">
        <w:rPr>
          <w:rFonts w:ascii="Times New Roman" w:hAnsi="Times New Roman" w:cs="Times New Roman"/>
          <w:sz w:val="24"/>
          <w:szCs w:val="24"/>
        </w:rPr>
        <w:t xml:space="preserve">Gamybos proceso </w:t>
      </w:r>
      <w:proofErr w:type="spellStart"/>
      <w:r>
        <w:rPr>
          <w:rFonts w:ascii="Times New Roman" w:hAnsi="Times New Roman" w:cs="Times New Roman"/>
          <w:sz w:val="24"/>
          <w:szCs w:val="24"/>
        </w:rPr>
        <w:t>validavimo</w:t>
      </w:r>
      <w:proofErr w:type="spellEnd"/>
      <w:r w:rsidRPr="00557F44">
        <w:rPr>
          <w:rFonts w:ascii="Times New Roman" w:hAnsi="Times New Roman" w:cs="Times New Roman"/>
          <w:sz w:val="24"/>
          <w:szCs w:val="24"/>
        </w:rPr>
        <w:t xml:space="preserve"> duomenys buvo pateikti pagal atitinkamas Europos gaires</w:t>
      </w:r>
      <w:r>
        <w:rPr>
          <w:rFonts w:ascii="Times New Roman" w:hAnsi="Times New Roman" w:cs="Times New Roman"/>
          <w:sz w:val="24"/>
          <w:szCs w:val="24"/>
        </w:rPr>
        <w:t>.</w:t>
      </w:r>
    </w:p>
    <w:p w14:paraId="0E335514" w14:textId="1D73FFD4" w:rsidR="00BF29EF" w:rsidRPr="003948F8" w:rsidRDefault="00050F87" w:rsidP="003948F8">
      <w:pPr>
        <w:spacing w:line="240" w:lineRule="auto"/>
        <w:rPr>
          <w:rFonts w:ascii="Times New Roman" w:hAnsi="Times New Roman" w:cs="Times New Roman"/>
          <w:b/>
          <w:bCs/>
          <w:sz w:val="24"/>
          <w:szCs w:val="24"/>
        </w:rPr>
      </w:pPr>
      <w:r w:rsidRPr="003948F8">
        <w:rPr>
          <w:rFonts w:ascii="Times New Roman" w:hAnsi="Times New Roman" w:cs="Times New Roman"/>
          <w:b/>
          <w:bCs/>
          <w:sz w:val="24"/>
          <w:szCs w:val="24"/>
        </w:rPr>
        <w:t xml:space="preserve">C. </w:t>
      </w:r>
      <w:r w:rsidR="00BF29EF" w:rsidRPr="003948F8">
        <w:rPr>
          <w:rFonts w:ascii="Times New Roman" w:hAnsi="Times New Roman" w:cs="Times New Roman"/>
          <w:b/>
          <w:bCs/>
          <w:sz w:val="24"/>
          <w:szCs w:val="24"/>
        </w:rPr>
        <w:t>Pradinių medžiagų gamyba ir kontrolė</w:t>
      </w:r>
    </w:p>
    <w:p w14:paraId="09CBDCDE" w14:textId="6793B5D2" w:rsidR="00BF29EF" w:rsidRDefault="00BF29EF" w:rsidP="003948F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Veiklio</w:t>
      </w:r>
      <w:r w:rsidR="00F02A54">
        <w:rPr>
          <w:rFonts w:ascii="Times New Roman" w:hAnsi="Times New Roman" w:cs="Times New Roman"/>
          <w:sz w:val="24"/>
          <w:szCs w:val="24"/>
        </w:rPr>
        <w:t>ji</w:t>
      </w:r>
      <w:r>
        <w:rPr>
          <w:rFonts w:ascii="Times New Roman" w:hAnsi="Times New Roman" w:cs="Times New Roman"/>
          <w:sz w:val="24"/>
          <w:szCs w:val="24"/>
        </w:rPr>
        <w:t xml:space="preserve"> medžiag</w:t>
      </w:r>
      <w:r w:rsidR="00F02A54">
        <w:rPr>
          <w:rFonts w:ascii="Times New Roman" w:hAnsi="Times New Roman" w:cs="Times New Roman"/>
          <w:sz w:val="24"/>
          <w:szCs w:val="24"/>
        </w:rPr>
        <w:t>a</w:t>
      </w:r>
      <w:r>
        <w:rPr>
          <w:rFonts w:ascii="Times New Roman" w:hAnsi="Times New Roman" w:cs="Times New Roman"/>
          <w:sz w:val="24"/>
          <w:szCs w:val="24"/>
        </w:rPr>
        <w:t xml:space="preserve">: </w:t>
      </w:r>
      <w:proofErr w:type="spellStart"/>
      <w:r w:rsidR="005C5419">
        <w:rPr>
          <w:rFonts w:ascii="Times New Roman" w:hAnsi="Times New Roman" w:cs="Times New Roman"/>
          <w:sz w:val="24"/>
          <w:szCs w:val="24"/>
        </w:rPr>
        <w:t>albendazolas</w:t>
      </w:r>
      <w:proofErr w:type="spellEnd"/>
      <w:r w:rsidR="00F02A54">
        <w:rPr>
          <w:rFonts w:ascii="Times New Roman" w:hAnsi="Times New Roman" w:cs="Times New Roman"/>
          <w:sz w:val="24"/>
          <w:szCs w:val="24"/>
        </w:rPr>
        <w:t xml:space="preserve"> </w:t>
      </w:r>
      <w:r>
        <w:rPr>
          <w:rFonts w:ascii="Times New Roman" w:hAnsi="Times New Roman" w:cs="Times New Roman"/>
          <w:sz w:val="24"/>
          <w:szCs w:val="24"/>
        </w:rPr>
        <w:t>yra aprašyt</w:t>
      </w:r>
      <w:r w:rsidR="00F02A54">
        <w:rPr>
          <w:rFonts w:ascii="Times New Roman" w:hAnsi="Times New Roman" w:cs="Times New Roman"/>
          <w:sz w:val="24"/>
          <w:szCs w:val="24"/>
        </w:rPr>
        <w:t>a</w:t>
      </w:r>
      <w:r>
        <w:rPr>
          <w:rFonts w:ascii="Times New Roman" w:hAnsi="Times New Roman" w:cs="Times New Roman"/>
          <w:sz w:val="24"/>
          <w:szCs w:val="24"/>
        </w:rPr>
        <w:t>s Europos Farmakopėjoje. Veiklio</w:t>
      </w:r>
      <w:r w:rsidR="00F02A54">
        <w:rPr>
          <w:rFonts w:ascii="Times New Roman" w:hAnsi="Times New Roman" w:cs="Times New Roman"/>
          <w:sz w:val="24"/>
          <w:szCs w:val="24"/>
        </w:rPr>
        <w:t>ji</w:t>
      </w:r>
      <w:r>
        <w:rPr>
          <w:rFonts w:ascii="Times New Roman" w:hAnsi="Times New Roman" w:cs="Times New Roman"/>
          <w:sz w:val="24"/>
          <w:szCs w:val="24"/>
        </w:rPr>
        <w:t xml:space="preserve"> medžiag</w:t>
      </w:r>
      <w:r w:rsidR="00F02A54">
        <w:rPr>
          <w:rFonts w:ascii="Times New Roman" w:hAnsi="Times New Roman" w:cs="Times New Roman"/>
          <w:sz w:val="24"/>
          <w:szCs w:val="24"/>
        </w:rPr>
        <w:t>a</w:t>
      </w:r>
      <w:r>
        <w:rPr>
          <w:rFonts w:ascii="Times New Roman" w:hAnsi="Times New Roman" w:cs="Times New Roman"/>
          <w:sz w:val="24"/>
          <w:szCs w:val="24"/>
        </w:rPr>
        <w:t xml:space="preserve"> gaminam</w:t>
      </w:r>
      <w:r w:rsidR="00F02A54">
        <w:rPr>
          <w:rFonts w:ascii="Times New Roman" w:hAnsi="Times New Roman" w:cs="Times New Roman"/>
          <w:sz w:val="24"/>
          <w:szCs w:val="24"/>
        </w:rPr>
        <w:t>a</w:t>
      </w:r>
      <w:r>
        <w:rPr>
          <w:rFonts w:ascii="Times New Roman" w:hAnsi="Times New Roman" w:cs="Times New Roman"/>
          <w:sz w:val="24"/>
          <w:szCs w:val="24"/>
        </w:rPr>
        <w:t xml:space="preserve"> pagal geros gamybos praktikos pricipus. Veikli</w:t>
      </w:r>
      <w:r w:rsidR="00F02A54">
        <w:rPr>
          <w:rFonts w:ascii="Times New Roman" w:hAnsi="Times New Roman" w:cs="Times New Roman"/>
          <w:sz w:val="24"/>
          <w:szCs w:val="24"/>
        </w:rPr>
        <w:t>osios</w:t>
      </w:r>
      <w:r>
        <w:rPr>
          <w:rFonts w:ascii="Times New Roman" w:hAnsi="Times New Roman" w:cs="Times New Roman"/>
          <w:sz w:val="24"/>
          <w:szCs w:val="24"/>
        </w:rPr>
        <w:t xml:space="preserve"> medžiag</w:t>
      </w:r>
      <w:r w:rsidR="00F02A54">
        <w:rPr>
          <w:rFonts w:ascii="Times New Roman" w:hAnsi="Times New Roman" w:cs="Times New Roman"/>
          <w:sz w:val="24"/>
          <w:szCs w:val="24"/>
        </w:rPr>
        <w:t>os</w:t>
      </w:r>
      <w:r>
        <w:rPr>
          <w:rFonts w:ascii="Times New Roman" w:hAnsi="Times New Roman" w:cs="Times New Roman"/>
          <w:sz w:val="24"/>
          <w:szCs w:val="24"/>
        </w:rPr>
        <w:t xml:space="preserve"> specifikacij</w:t>
      </w:r>
      <w:r w:rsidR="00F02A54">
        <w:rPr>
          <w:rFonts w:ascii="Times New Roman" w:hAnsi="Times New Roman" w:cs="Times New Roman"/>
          <w:sz w:val="24"/>
          <w:szCs w:val="24"/>
        </w:rPr>
        <w:t>a</w:t>
      </w:r>
      <w:r>
        <w:rPr>
          <w:rFonts w:ascii="Times New Roman" w:hAnsi="Times New Roman" w:cs="Times New Roman"/>
          <w:sz w:val="24"/>
          <w:szCs w:val="24"/>
        </w:rPr>
        <w:t xml:space="preserve"> laikom</w:t>
      </w:r>
      <w:r w:rsidR="00F02A54">
        <w:rPr>
          <w:rFonts w:ascii="Times New Roman" w:hAnsi="Times New Roman" w:cs="Times New Roman"/>
          <w:sz w:val="24"/>
          <w:szCs w:val="24"/>
        </w:rPr>
        <w:t>a</w:t>
      </w:r>
      <w:r>
        <w:rPr>
          <w:rFonts w:ascii="Times New Roman" w:hAnsi="Times New Roman" w:cs="Times New Roman"/>
          <w:sz w:val="24"/>
          <w:szCs w:val="24"/>
        </w:rPr>
        <w:t xml:space="preserve"> pakankam</w:t>
      </w:r>
      <w:r w:rsidR="00F02A54">
        <w:rPr>
          <w:rFonts w:ascii="Times New Roman" w:hAnsi="Times New Roman" w:cs="Times New Roman"/>
          <w:sz w:val="24"/>
          <w:szCs w:val="24"/>
        </w:rPr>
        <w:t>a</w:t>
      </w:r>
      <w:r>
        <w:rPr>
          <w:rFonts w:ascii="Times New Roman" w:hAnsi="Times New Roman" w:cs="Times New Roman"/>
          <w:sz w:val="24"/>
          <w:szCs w:val="24"/>
        </w:rPr>
        <w:t xml:space="preserve"> medžiag</w:t>
      </w:r>
      <w:r w:rsidR="00F02A54">
        <w:rPr>
          <w:rFonts w:ascii="Times New Roman" w:hAnsi="Times New Roman" w:cs="Times New Roman"/>
          <w:sz w:val="24"/>
          <w:szCs w:val="24"/>
        </w:rPr>
        <w:t>os</w:t>
      </w:r>
      <w:r>
        <w:rPr>
          <w:rFonts w:ascii="Times New Roman" w:hAnsi="Times New Roman" w:cs="Times New Roman"/>
          <w:sz w:val="24"/>
          <w:szCs w:val="24"/>
        </w:rPr>
        <w:t xml:space="preserve"> kokybei kontroliuoti.</w:t>
      </w:r>
      <w:r w:rsidR="00583A67">
        <w:rPr>
          <w:rFonts w:ascii="Times New Roman" w:hAnsi="Times New Roman" w:cs="Times New Roman"/>
          <w:sz w:val="24"/>
          <w:szCs w:val="24"/>
        </w:rPr>
        <w:t xml:space="preserve"> P</w:t>
      </w:r>
      <w:r>
        <w:rPr>
          <w:rFonts w:ascii="Times New Roman" w:hAnsi="Times New Roman" w:cs="Times New Roman"/>
          <w:sz w:val="24"/>
          <w:szCs w:val="24"/>
        </w:rPr>
        <w:t>ateikt</w:t>
      </w:r>
      <w:r w:rsidR="00583A67">
        <w:rPr>
          <w:rFonts w:ascii="Times New Roman" w:hAnsi="Times New Roman" w:cs="Times New Roman"/>
          <w:sz w:val="24"/>
          <w:szCs w:val="24"/>
        </w:rPr>
        <w:t>i partijų tyrimų duomenys, įrodantys atitiktį specifikacij</w:t>
      </w:r>
      <w:r w:rsidR="00F02A54">
        <w:rPr>
          <w:rFonts w:ascii="Times New Roman" w:hAnsi="Times New Roman" w:cs="Times New Roman"/>
          <w:sz w:val="24"/>
          <w:szCs w:val="24"/>
        </w:rPr>
        <w:t>ai</w:t>
      </w:r>
      <w:r w:rsidR="00583A67">
        <w:rPr>
          <w:rFonts w:ascii="Times New Roman" w:hAnsi="Times New Roman" w:cs="Times New Roman"/>
          <w:sz w:val="24"/>
          <w:szCs w:val="24"/>
        </w:rPr>
        <w:t>.</w:t>
      </w:r>
    </w:p>
    <w:p w14:paraId="028C6A9B" w14:textId="4BDE33C7" w:rsidR="00583A67" w:rsidRDefault="00583A67" w:rsidP="00221A0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Veterinarinio vaisto gamyboje</w:t>
      </w:r>
      <w:r w:rsidRPr="00583A67">
        <w:rPr>
          <w:rFonts w:ascii="Times New Roman" w:hAnsi="Times New Roman" w:cs="Times New Roman"/>
          <w:sz w:val="24"/>
          <w:szCs w:val="24"/>
        </w:rPr>
        <w:t xml:space="preserve"> nėra medžiagų, kurioms taikomos </w:t>
      </w:r>
      <w:r w:rsidR="00CE7AE2">
        <w:rPr>
          <w:rFonts w:ascii="Times New Roman" w:hAnsi="Times New Roman" w:cs="Times New Roman"/>
          <w:sz w:val="24"/>
          <w:szCs w:val="24"/>
        </w:rPr>
        <w:t xml:space="preserve">gyvūnų </w:t>
      </w:r>
      <w:proofErr w:type="spellStart"/>
      <w:r w:rsidR="00CE7AE2">
        <w:rPr>
          <w:rFonts w:ascii="Times New Roman" w:hAnsi="Times New Roman" w:cs="Times New Roman"/>
          <w:sz w:val="24"/>
          <w:szCs w:val="24"/>
        </w:rPr>
        <w:t>spongiforminės</w:t>
      </w:r>
      <w:proofErr w:type="spellEnd"/>
      <w:r w:rsidR="00CE7AE2">
        <w:rPr>
          <w:rFonts w:ascii="Times New Roman" w:hAnsi="Times New Roman" w:cs="Times New Roman"/>
          <w:sz w:val="24"/>
          <w:szCs w:val="24"/>
        </w:rPr>
        <w:t xml:space="preserve"> </w:t>
      </w:r>
      <w:proofErr w:type="spellStart"/>
      <w:r w:rsidR="00CE7AE2">
        <w:rPr>
          <w:rFonts w:ascii="Times New Roman" w:hAnsi="Times New Roman" w:cs="Times New Roman"/>
          <w:sz w:val="24"/>
          <w:szCs w:val="24"/>
        </w:rPr>
        <w:t>encefalopatijos</w:t>
      </w:r>
      <w:proofErr w:type="spellEnd"/>
      <w:r w:rsidR="00CE7AE2">
        <w:rPr>
          <w:rFonts w:ascii="Times New Roman" w:hAnsi="Times New Roman" w:cs="Times New Roman"/>
          <w:sz w:val="24"/>
          <w:szCs w:val="24"/>
        </w:rPr>
        <w:t xml:space="preserve"> </w:t>
      </w:r>
      <w:r w:rsidRPr="00583A67">
        <w:rPr>
          <w:rFonts w:ascii="Times New Roman" w:hAnsi="Times New Roman" w:cs="Times New Roman"/>
          <w:sz w:val="24"/>
          <w:szCs w:val="24"/>
        </w:rPr>
        <w:t>gairės.</w:t>
      </w:r>
    </w:p>
    <w:p w14:paraId="575DBEF9" w14:textId="77777777" w:rsidR="00B048CB" w:rsidRPr="00BF29EF" w:rsidRDefault="00B048CB" w:rsidP="00B048CB">
      <w:pPr>
        <w:spacing w:after="0" w:line="240" w:lineRule="auto"/>
        <w:jc w:val="both"/>
        <w:rPr>
          <w:rFonts w:ascii="Times New Roman" w:hAnsi="Times New Roman" w:cs="Times New Roman"/>
          <w:sz w:val="24"/>
          <w:szCs w:val="24"/>
        </w:rPr>
      </w:pPr>
    </w:p>
    <w:p w14:paraId="1D307B0D" w14:textId="47F1764A" w:rsidR="002D2E8A" w:rsidRPr="003948F8" w:rsidRDefault="002A2AE8" w:rsidP="003948F8">
      <w:pPr>
        <w:spacing w:after="0"/>
        <w:rPr>
          <w:rFonts w:ascii="Times New Roman" w:hAnsi="Times New Roman" w:cs="Times New Roman"/>
          <w:b/>
          <w:bCs/>
          <w:sz w:val="24"/>
          <w:szCs w:val="24"/>
        </w:rPr>
      </w:pPr>
      <w:r w:rsidRPr="003948F8">
        <w:rPr>
          <w:rFonts w:ascii="Times New Roman" w:hAnsi="Times New Roman" w:cs="Times New Roman"/>
          <w:b/>
          <w:bCs/>
          <w:sz w:val="24"/>
          <w:szCs w:val="24"/>
        </w:rPr>
        <w:t xml:space="preserve">D. </w:t>
      </w:r>
      <w:r w:rsidR="00CE7AE2" w:rsidRPr="003948F8">
        <w:rPr>
          <w:rFonts w:ascii="Times New Roman" w:hAnsi="Times New Roman" w:cs="Times New Roman"/>
          <w:b/>
          <w:bCs/>
          <w:sz w:val="24"/>
          <w:szCs w:val="24"/>
        </w:rPr>
        <w:t>Tarpinių medžiagų kontrolė</w:t>
      </w:r>
    </w:p>
    <w:p w14:paraId="0993DF0C" w14:textId="1553D1B9" w:rsidR="004872FD" w:rsidRPr="00B4795F" w:rsidRDefault="00CE7AE2" w:rsidP="00F02A54">
      <w:pPr>
        <w:ind w:firstLine="567"/>
        <w:rPr>
          <w:rFonts w:ascii="Times New Roman" w:hAnsi="Times New Roman" w:cs="Times New Roman"/>
          <w:sz w:val="24"/>
          <w:szCs w:val="24"/>
        </w:rPr>
      </w:pPr>
      <w:r w:rsidRPr="00B4795F">
        <w:rPr>
          <w:rFonts w:ascii="Times New Roman" w:hAnsi="Times New Roman" w:cs="Times New Roman"/>
          <w:sz w:val="24"/>
          <w:szCs w:val="24"/>
        </w:rPr>
        <w:t>Netaikoma.</w:t>
      </w:r>
    </w:p>
    <w:p w14:paraId="7516157B" w14:textId="607C6E59" w:rsidR="00CE7AE2" w:rsidRPr="003948F8" w:rsidRDefault="002A2AE8" w:rsidP="00F02A54">
      <w:pPr>
        <w:rPr>
          <w:rFonts w:ascii="Times New Roman" w:hAnsi="Times New Roman" w:cs="Times New Roman"/>
          <w:b/>
          <w:bCs/>
          <w:sz w:val="24"/>
          <w:szCs w:val="24"/>
        </w:rPr>
      </w:pPr>
      <w:r w:rsidRPr="003948F8">
        <w:rPr>
          <w:rFonts w:ascii="Times New Roman" w:hAnsi="Times New Roman" w:cs="Times New Roman"/>
          <w:b/>
          <w:bCs/>
          <w:sz w:val="24"/>
          <w:szCs w:val="24"/>
        </w:rPr>
        <w:t xml:space="preserve">E. </w:t>
      </w:r>
      <w:r w:rsidR="00CE7AE2" w:rsidRPr="003948F8">
        <w:rPr>
          <w:rFonts w:ascii="Times New Roman" w:hAnsi="Times New Roman" w:cs="Times New Roman"/>
          <w:b/>
          <w:bCs/>
          <w:sz w:val="24"/>
          <w:szCs w:val="24"/>
        </w:rPr>
        <w:t>Gatavo produkto tyrimai</w:t>
      </w:r>
    </w:p>
    <w:p w14:paraId="425913D9" w14:textId="6ADF957C" w:rsidR="00B4795F" w:rsidRPr="00B4795F" w:rsidRDefault="00B4795F" w:rsidP="003948F8">
      <w:pPr>
        <w:spacing w:after="0"/>
        <w:ind w:firstLine="567"/>
        <w:jc w:val="both"/>
        <w:rPr>
          <w:rFonts w:ascii="Times New Roman" w:hAnsi="Times New Roman" w:cs="Times New Roman"/>
          <w:sz w:val="24"/>
          <w:szCs w:val="24"/>
        </w:rPr>
      </w:pPr>
      <w:r w:rsidRPr="00B4795F">
        <w:rPr>
          <w:rFonts w:ascii="Times New Roman" w:hAnsi="Times New Roman" w:cs="Times New Roman"/>
          <w:sz w:val="24"/>
          <w:szCs w:val="24"/>
        </w:rPr>
        <w:t>Gatavo produkto specifikacija tikrinama pagal atitinkamus farmacinės formos parametrus.</w:t>
      </w:r>
    </w:p>
    <w:p w14:paraId="569D8954" w14:textId="77777777" w:rsidR="00B4795F" w:rsidRPr="00B4795F" w:rsidRDefault="00B4795F" w:rsidP="003948F8">
      <w:pPr>
        <w:spacing w:after="0"/>
        <w:ind w:firstLine="567"/>
        <w:jc w:val="both"/>
        <w:rPr>
          <w:rFonts w:ascii="Times New Roman" w:hAnsi="Times New Roman" w:cs="Times New Roman"/>
          <w:sz w:val="24"/>
          <w:szCs w:val="24"/>
        </w:rPr>
      </w:pPr>
      <w:r w:rsidRPr="00B4795F">
        <w:rPr>
          <w:rFonts w:ascii="Times New Roman" w:hAnsi="Times New Roman" w:cs="Times New Roman"/>
          <w:sz w:val="24"/>
          <w:szCs w:val="24"/>
        </w:rPr>
        <w:t>Specifikacijoje nurodyti tyrimai, ir jų ribos, buvo pagrįstos ir laikomos tinkamomis tinkamai kontroliuoti gaminamo veterinarinio vaisto kokybę. Pateikti analizės metodų patvirtinimo duomenys.</w:t>
      </w:r>
    </w:p>
    <w:p w14:paraId="439C785D" w14:textId="4BA15BB5" w:rsidR="00B4795F" w:rsidRDefault="00B4795F" w:rsidP="003948F8">
      <w:pPr>
        <w:spacing w:after="0"/>
        <w:ind w:firstLine="567"/>
        <w:jc w:val="both"/>
        <w:rPr>
          <w:rFonts w:ascii="Times New Roman" w:hAnsi="Times New Roman" w:cs="Times New Roman"/>
          <w:sz w:val="24"/>
          <w:szCs w:val="24"/>
        </w:rPr>
      </w:pPr>
      <w:r w:rsidRPr="00B4795F">
        <w:rPr>
          <w:rFonts w:ascii="Times New Roman" w:hAnsi="Times New Roman" w:cs="Times New Roman"/>
          <w:sz w:val="24"/>
          <w:szCs w:val="24"/>
        </w:rPr>
        <w:t>Buvo pateikti serijos analitiniai duomenys iš veterinarinio vaisto gamybos sekos, įrodantys atitiktį specifikacijai</w:t>
      </w:r>
      <w:r>
        <w:rPr>
          <w:rFonts w:ascii="Times New Roman" w:hAnsi="Times New Roman" w:cs="Times New Roman"/>
          <w:sz w:val="24"/>
          <w:szCs w:val="24"/>
        </w:rPr>
        <w:t>.</w:t>
      </w:r>
    </w:p>
    <w:p w14:paraId="47C3ADE0" w14:textId="77777777" w:rsidR="0072460E" w:rsidRDefault="0072460E" w:rsidP="00B4795F">
      <w:pPr>
        <w:spacing w:after="0"/>
        <w:rPr>
          <w:rFonts w:ascii="Times New Roman" w:hAnsi="Times New Roman" w:cs="Times New Roman"/>
          <w:sz w:val="24"/>
          <w:szCs w:val="24"/>
        </w:rPr>
      </w:pPr>
    </w:p>
    <w:p w14:paraId="410D4534" w14:textId="07BC486D" w:rsidR="0072460E" w:rsidRPr="003948F8" w:rsidRDefault="001D08F6" w:rsidP="00F02A54">
      <w:pPr>
        <w:spacing w:after="0"/>
        <w:rPr>
          <w:rFonts w:ascii="Times New Roman" w:hAnsi="Times New Roman" w:cs="Times New Roman"/>
          <w:b/>
          <w:bCs/>
          <w:sz w:val="24"/>
          <w:szCs w:val="24"/>
        </w:rPr>
      </w:pPr>
      <w:r w:rsidRPr="003948F8">
        <w:rPr>
          <w:rFonts w:ascii="Times New Roman" w:hAnsi="Times New Roman" w:cs="Times New Roman"/>
          <w:b/>
          <w:bCs/>
          <w:sz w:val="24"/>
          <w:szCs w:val="24"/>
        </w:rPr>
        <w:t xml:space="preserve">F. </w:t>
      </w:r>
      <w:r w:rsidR="0072460E" w:rsidRPr="003948F8">
        <w:rPr>
          <w:rFonts w:ascii="Times New Roman" w:hAnsi="Times New Roman" w:cs="Times New Roman"/>
          <w:b/>
          <w:bCs/>
          <w:sz w:val="24"/>
          <w:szCs w:val="24"/>
        </w:rPr>
        <w:t>Stabilumo tyrimai</w:t>
      </w:r>
    </w:p>
    <w:p w14:paraId="7B4AA850" w14:textId="77777777" w:rsidR="0072460E" w:rsidRPr="003948F8" w:rsidRDefault="0072460E" w:rsidP="003948F8">
      <w:pPr>
        <w:spacing w:after="0"/>
        <w:rPr>
          <w:rFonts w:ascii="Times New Roman" w:hAnsi="Times New Roman" w:cs="Times New Roman"/>
          <w:sz w:val="24"/>
          <w:szCs w:val="24"/>
        </w:rPr>
      </w:pPr>
    </w:p>
    <w:p w14:paraId="6DF2D901" w14:textId="6020F45B" w:rsidR="0072460E" w:rsidRPr="0072460E" w:rsidRDefault="0072460E" w:rsidP="003948F8">
      <w:pPr>
        <w:spacing w:after="0"/>
        <w:ind w:firstLine="567"/>
        <w:jc w:val="both"/>
        <w:rPr>
          <w:rFonts w:ascii="Times New Roman" w:hAnsi="Times New Roman" w:cs="Times New Roman"/>
          <w:sz w:val="24"/>
          <w:szCs w:val="24"/>
        </w:rPr>
      </w:pPr>
      <w:r w:rsidRPr="0072460E">
        <w:rPr>
          <w:rFonts w:ascii="Times New Roman" w:hAnsi="Times New Roman" w:cs="Times New Roman"/>
          <w:sz w:val="24"/>
          <w:szCs w:val="24"/>
        </w:rPr>
        <w:t>Veikli</w:t>
      </w:r>
      <w:r w:rsidR="00F02A54">
        <w:rPr>
          <w:rFonts w:ascii="Times New Roman" w:hAnsi="Times New Roman" w:cs="Times New Roman"/>
          <w:sz w:val="24"/>
          <w:szCs w:val="24"/>
        </w:rPr>
        <w:t>osios</w:t>
      </w:r>
      <w:r w:rsidRPr="0072460E">
        <w:rPr>
          <w:rFonts w:ascii="Times New Roman" w:hAnsi="Times New Roman" w:cs="Times New Roman"/>
          <w:sz w:val="24"/>
          <w:szCs w:val="24"/>
        </w:rPr>
        <w:t xml:space="preserve"> medžiag</w:t>
      </w:r>
      <w:r w:rsidR="00F02A54">
        <w:rPr>
          <w:rFonts w:ascii="Times New Roman" w:hAnsi="Times New Roman" w:cs="Times New Roman"/>
          <w:sz w:val="24"/>
          <w:szCs w:val="24"/>
        </w:rPr>
        <w:t>os</w:t>
      </w:r>
      <w:r w:rsidRPr="0072460E">
        <w:rPr>
          <w:rFonts w:ascii="Times New Roman" w:hAnsi="Times New Roman" w:cs="Times New Roman"/>
          <w:sz w:val="24"/>
          <w:szCs w:val="24"/>
        </w:rPr>
        <w:t xml:space="preserve"> stabilumo duomenys buvo pateikti pagal galiojančias Europos gaires, įrodančias</w:t>
      </w:r>
      <w:r w:rsidR="00D849DF">
        <w:rPr>
          <w:rFonts w:ascii="Times New Roman" w:hAnsi="Times New Roman" w:cs="Times New Roman"/>
          <w:sz w:val="24"/>
          <w:szCs w:val="24"/>
        </w:rPr>
        <w:t xml:space="preserve"> </w:t>
      </w:r>
      <w:r w:rsidRPr="0072460E">
        <w:rPr>
          <w:rFonts w:ascii="Times New Roman" w:hAnsi="Times New Roman" w:cs="Times New Roman"/>
          <w:sz w:val="24"/>
          <w:szCs w:val="24"/>
        </w:rPr>
        <w:t>veikliųjų medžiagų stabilumą laikant nustatytomis sąlygomis.</w:t>
      </w:r>
    </w:p>
    <w:p w14:paraId="0F57EE0C" w14:textId="4168A1EC" w:rsidR="0072460E" w:rsidRPr="004872FD" w:rsidRDefault="0072460E" w:rsidP="003948F8">
      <w:pPr>
        <w:ind w:firstLine="567"/>
        <w:jc w:val="both"/>
        <w:rPr>
          <w:rFonts w:ascii="Times New Roman" w:hAnsi="Times New Roman" w:cs="Times New Roman"/>
          <w:sz w:val="28"/>
          <w:szCs w:val="28"/>
        </w:rPr>
      </w:pPr>
      <w:r w:rsidRPr="0072460E">
        <w:rPr>
          <w:rFonts w:ascii="Times New Roman" w:hAnsi="Times New Roman" w:cs="Times New Roman"/>
          <w:sz w:val="24"/>
          <w:szCs w:val="24"/>
        </w:rPr>
        <w:t>Pagaminto veterinarinio vaisto stabilumo duomenys buvo pateikti pagal galiojančias Europos gaires, įrodančias veterinarinio vaisto stabilumą per visą jo galiojimo laiką, kai jis laikomas patvirtintomis sąlygomis.</w:t>
      </w:r>
    </w:p>
    <w:p w14:paraId="1D251A46" w14:textId="68C8E8E8" w:rsidR="0072460E" w:rsidRPr="003948F8" w:rsidRDefault="00D849DF" w:rsidP="00F02A54">
      <w:pPr>
        <w:rPr>
          <w:rFonts w:ascii="Times New Roman" w:hAnsi="Times New Roman" w:cs="Times New Roman"/>
          <w:b/>
          <w:bCs/>
          <w:sz w:val="24"/>
          <w:szCs w:val="24"/>
        </w:rPr>
      </w:pPr>
      <w:r w:rsidRPr="003948F8">
        <w:rPr>
          <w:rFonts w:ascii="Times New Roman" w:hAnsi="Times New Roman" w:cs="Times New Roman"/>
          <w:b/>
          <w:bCs/>
          <w:sz w:val="24"/>
          <w:szCs w:val="24"/>
        </w:rPr>
        <w:t xml:space="preserve">G. </w:t>
      </w:r>
      <w:r w:rsidR="0072460E" w:rsidRPr="003948F8">
        <w:rPr>
          <w:rFonts w:ascii="Times New Roman" w:hAnsi="Times New Roman" w:cs="Times New Roman"/>
          <w:b/>
          <w:bCs/>
          <w:sz w:val="24"/>
          <w:szCs w:val="24"/>
        </w:rPr>
        <w:t>Kita informacija</w:t>
      </w:r>
    </w:p>
    <w:p w14:paraId="76563E22" w14:textId="139686DC" w:rsidR="00B4795F" w:rsidRDefault="0072460E" w:rsidP="003948F8">
      <w:pPr>
        <w:ind w:firstLine="567"/>
      </w:pPr>
      <w:r>
        <w:rPr>
          <w:rFonts w:ascii="Times New Roman" w:hAnsi="Times New Roman" w:cs="Times New Roman"/>
          <w:sz w:val="24"/>
          <w:szCs w:val="24"/>
        </w:rPr>
        <w:t>Netaikoma</w:t>
      </w:r>
      <w:r w:rsidR="00E7442D">
        <w:rPr>
          <w:rFonts w:ascii="Times New Roman" w:hAnsi="Times New Roman" w:cs="Times New Roman"/>
          <w:sz w:val="24"/>
          <w:szCs w:val="24"/>
        </w:rPr>
        <w:t>.</w:t>
      </w:r>
    </w:p>
    <w:p w14:paraId="7065AE58" w14:textId="6E5B3A21" w:rsidR="00B4795F" w:rsidRPr="00B4795F" w:rsidRDefault="00B4795F" w:rsidP="0072460E">
      <w:pPr>
        <w:spacing w:after="0"/>
        <w:rPr>
          <w:rFonts w:ascii="Times New Roman" w:hAnsi="Times New Roman" w:cs="Times New Roman"/>
          <w:sz w:val="24"/>
          <w:szCs w:val="24"/>
        </w:rPr>
      </w:pPr>
    </w:p>
    <w:p w14:paraId="142EA4B5" w14:textId="0D34B404" w:rsidR="008F7634" w:rsidRPr="003948F8" w:rsidRDefault="00B305DE" w:rsidP="00B305DE">
      <w:pPr>
        <w:ind w:left="360"/>
        <w:rPr>
          <w:rFonts w:ascii="Times New Roman" w:hAnsi="Times New Roman" w:cs="Times New Roman"/>
          <w:b/>
          <w:bCs/>
          <w:sz w:val="28"/>
          <w:szCs w:val="28"/>
        </w:rPr>
      </w:pPr>
      <w:r w:rsidRPr="003948F8">
        <w:rPr>
          <w:rFonts w:ascii="Times New Roman" w:hAnsi="Times New Roman" w:cs="Times New Roman"/>
          <w:b/>
          <w:bCs/>
          <w:sz w:val="28"/>
          <w:szCs w:val="28"/>
        </w:rPr>
        <w:t xml:space="preserve">3. </w:t>
      </w:r>
      <w:r w:rsidR="00506F3B" w:rsidRPr="003948F8">
        <w:rPr>
          <w:rFonts w:ascii="Times New Roman" w:hAnsi="Times New Roman" w:cs="Times New Roman"/>
          <w:b/>
          <w:bCs/>
          <w:sz w:val="28"/>
          <w:szCs w:val="28"/>
        </w:rPr>
        <w:t>SAUG</w:t>
      </w:r>
      <w:r w:rsidR="00F56CBD" w:rsidRPr="003948F8">
        <w:rPr>
          <w:rFonts w:ascii="Times New Roman" w:hAnsi="Times New Roman" w:cs="Times New Roman"/>
          <w:b/>
          <w:bCs/>
          <w:sz w:val="28"/>
          <w:szCs w:val="28"/>
        </w:rPr>
        <w:t xml:space="preserve">UMO DOKUMENTAI </w:t>
      </w:r>
      <w:r w:rsidR="00B43550" w:rsidRPr="003948F8">
        <w:rPr>
          <w:rFonts w:ascii="Times New Roman" w:hAnsi="Times New Roman" w:cs="Times New Roman"/>
          <w:b/>
          <w:bCs/>
          <w:sz w:val="28"/>
          <w:szCs w:val="28"/>
        </w:rPr>
        <w:t>(Saugumo ir liekanų tyrimai)</w:t>
      </w:r>
    </w:p>
    <w:p w14:paraId="64872AE0" w14:textId="01D7AD9E" w:rsidR="00506F3B" w:rsidRDefault="0081127B" w:rsidP="003948F8">
      <w:pPr>
        <w:ind w:firstLine="567"/>
        <w:jc w:val="both"/>
        <w:rPr>
          <w:rFonts w:ascii="Times New Roman" w:hAnsi="Times New Roman" w:cs="Times New Roman"/>
          <w:sz w:val="24"/>
          <w:szCs w:val="24"/>
        </w:rPr>
      </w:pPr>
      <w:r>
        <w:rPr>
          <w:rFonts w:ascii="Times New Roman" w:hAnsi="Times New Roman" w:cs="Times New Roman"/>
          <w:sz w:val="24"/>
          <w:szCs w:val="24"/>
        </w:rPr>
        <w:t xml:space="preserve">Paraiška </w:t>
      </w:r>
      <w:r w:rsidR="003869DE">
        <w:rPr>
          <w:rFonts w:ascii="Times New Roman" w:hAnsi="Times New Roman" w:cs="Times New Roman"/>
          <w:sz w:val="24"/>
          <w:szCs w:val="24"/>
        </w:rPr>
        <w:t xml:space="preserve">veterinariniam vaistui registruoti pateikta </w:t>
      </w:r>
      <w:r w:rsidR="00F70135">
        <w:rPr>
          <w:rFonts w:ascii="Times New Roman" w:hAnsi="Times New Roman" w:cs="Times New Roman"/>
          <w:sz w:val="24"/>
          <w:szCs w:val="24"/>
        </w:rPr>
        <w:t xml:space="preserve">pagal </w:t>
      </w:r>
      <w:r w:rsidR="00A67B30">
        <w:rPr>
          <w:rFonts w:ascii="Times New Roman" w:hAnsi="Times New Roman" w:cs="Times New Roman"/>
          <w:sz w:val="24"/>
          <w:szCs w:val="24"/>
        </w:rPr>
        <w:t>Reglament</w:t>
      </w:r>
      <w:r w:rsidR="00600B3C">
        <w:rPr>
          <w:rFonts w:ascii="Times New Roman" w:hAnsi="Times New Roman" w:cs="Times New Roman"/>
          <w:sz w:val="24"/>
          <w:szCs w:val="24"/>
        </w:rPr>
        <w:t>o</w:t>
      </w:r>
      <w:r w:rsidR="00A67B30">
        <w:rPr>
          <w:rFonts w:ascii="Times New Roman" w:hAnsi="Times New Roman" w:cs="Times New Roman"/>
          <w:sz w:val="24"/>
          <w:szCs w:val="24"/>
        </w:rPr>
        <w:t xml:space="preserve"> (ES) 2019/6 </w:t>
      </w:r>
      <w:r w:rsidR="00AC6118">
        <w:rPr>
          <w:rFonts w:ascii="Times New Roman" w:hAnsi="Times New Roman" w:cs="Times New Roman"/>
          <w:sz w:val="24"/>
          <w:szCs w:val="24"/>
        </w:rPr>
        <w:t>22</w:t>
      </w:r>
      <w:r w:rsidR="00AC6118" w:rsidRPr="00F1053D">
        <w:rPr>
          <w:rFonts w:ascii="Times New Roman" w:hAnsi="Times New Roman" w:cs="Times New Roman"/>
          <w:sz w:val="24"/>
          <w:szCs w:val="24"/>
        </w:rPr>
        <w:t xml:space="preserve"> str.</w:t>
      </w:r>
      <w:r w:rsidR="00AC6118">
        <w:rPr>
          <w:rFonts w:ascii="Times New Roman" w:hAnsi="Times New Roman" w:cs="Times New Roman"/>
          <w:sz w:val="24"/>
          <w:szCs w:val="24"/>
        </w:rPr>
        <w:t xml:space="preserve"> </w:t>
      </w:r>
      <w:r w:rsidR="00AC6118" w:rsidRPr="00AC6118">
        <w:rPr>
          <w:rFonts w:ascii="Times New Roman" w:hAnsi="Times New Roman" w:cs="Times New Roman"/>
          <w:sz w:val="24"/>
          <w:szCs w:val="24"/>
        </w:rPr>
        <w:t>Bibliografiniais duomenimis grindžiama paraiška</w:t>
      </w:r>
      <w:r w:rsidR="0096779F">
        <w:rPr>
          <w:rFonts w:ascii="Times New Roman" w:hAnsi="Times New Roman" w:cs="Times New Roman"/>
          <w:sz w:val="24"/>
          <w:szCs w:val="24"/>
        </w:rPr>
        <w:t>, todėl</w:t>
      </w:r>
      <w:r w:rsidR="00174C0B">
        <w:rPr>
          <w:rFonts w:ascii="Times New Roman" w:hAnsi="Times New Roman" w:cs="Times New Roman"/>
          <w:sz w:val="24"/>
          <w:szCs w:val="24"/>
        </w:rPr>
        <w:t xml:space="preserve"> </w:t>
      </w:r>
      <w:r w:rsidR="001B6881">
        <w:rPr>
          <w:rFonts w:ascii="Times New Roman" w:hAnsi="Times New Roman" w:cs="Times New Roman"/>
          <w:sz w:val="24"/>
          <w:szCs w:val="24"/>
        </w:rPr>
        <w:t xml:space="preserve">sąrankoje </w:t>
      </w:r>
      <w:r w:rsidR="00A616AF">
        <w:rPr>
          <w:rFonts w:ascii="Times New Roman" w:hAnsi="Times New Roman" w:cs="Times New Roman"/>
          <w:sz w:val="24"/>
          <w:szCs w:val="24"/>
        </w:rPr>
        <w:t xml:space="preserve">dėl </w:t>
      </w:r>
      <w:r w:rsidR="00174C0B">
        <w:rPr>
          <w:rFonts w:ascii="Times New Roman" w:hAnsi="Times New Roman" w:cs="Times New Roman"/>
          <w:sz w:val="24"/>
          <w:szCs w:val="24"/>
        </w:rPr>
        <w:t>saugumo ir liekanų duomen</w:t>
      </w:r>
      <w:r w:rsidR="00A616AF">
        <w:rPr>
          <w:rFonts w:ascii="Times New Roman" w:hAnsi="Times New Roman" w:cs="Times New Roman"/>
          <w:sz w:val="24"/>
          <w:szCs w:val="24"/>
        </w:rPr>
        <w:t>ų</w:t>
      </w:r>
      <w:r w:rsidR="00174C0B">
        <w:rPr>
          <w:rFonts w:ascii="Times New Roman" w:hAnsi="Times New Roman" w:cs="Times New Roman"/>
          <w:sz w:val="24"/>
          <w:szCs w:val="24"/>
        </w:rPr>
        <w:t xml:space="preserve"> re</w:t>
      </w:r>
      <w:r w:rsidR="00A616AF">
        <w:rPr>
          <w:rFonts w:ascii="Times New Roman" w:hAnsi="Times New Roman" w:cs="Times New Roman"/>
          <w:sz w:val="24"/>
          <w:szCs w:val="24"/>
        </w:rPr>
        <w:t xml:space="preserve">miamasi </w:t>
      </w:r>
      <w:r w:rsidR="00C96B40">
        <w:rPr>
          <w:rFonts w:ascii="Times New Roman" w:hAnsi="Times New Roman" w:cs="Times New Roman"/>
          <w:sz w:val="24"/>
          <w:szCs w:val="24"/>
        </w:rPr>
        <w:t>referencinio vaisto duomenimis ir iš dalies naujais tyrimų duomenimis.</w:t>
      </w:r>
    </w:p>
    <w:p w14:paraId="49E3E69B" w14:textId="1FE78786" w:rsidR="002D57A1" w:rsidRPr="008A169D" w:rsidRDefault="002D57A1" w:rsidP="00506F3B">
      <w:pPr>
        <w:rPr>
          <w:rFonts w:ascii="Times New Roman" w:hAnsi="Times New Roman" w:cs="Times New Roman"/>
          <w:b/>
          <w:bCs/>
          <w:sz w:val="24"/>
          <w:szCs w:val="24"/>
        </w:rPr>
      </w:pPr>
      <w:r w:rsidRPr="008A169D">
        <w:rPr>
          <w:rFonts w:ascii="Times New Roman" w:hAnsi="Times New Roman" w:cs="Times New Roman"/>
          <w:b/>
          <w:bCs/>
          <w:sz w:val="24"/>
          <w:szCs w:val="24"/>
        </w:rPr>
        <w:t>A</w:t>
      </w:r>
      <w:r w:rsidR="00B753AE" w:rsidRPr="008A169D">
        <w:rPr>
          <w:rFonts w:ascii="Times New Roman" w:hAnsi="Times New Roman" w:cs="Times New Roman"/>
          <w:b/>
          <w:bCs/>
          <w:sz w:val="24"/>
          <w:szCs w:val="24"/>
        </w:rPr>
        <w:t>. Saugumo tyrimai</w:t>
      </w:r>
    </w:p>
    <w:p w14:paraId="3C2EA4DC" w14:textId="709EB260" w:rsidR="00C57D68" w:rsidRPr="008A169D" w:rsidRDefault="00C57D68" w:rsidP="00506F3B">
      <w:pPr>
        <w:rPr>
          <w:rFonts w:ascii="Times New Roman" w:hAnsi="Times New Roman" w:cs="Times New Roman"/>
          <w:b/>
          <w:bCs/>
          <w:sz w:val="24"/>
          <w:szCs w:val="24"/>
        </w:rPr>
      </w:pPr>
      <w:r w:rsidRPr="008A169D">
        <w:rPr>
          <w:rFonts w:ascii="Times New Roman" w:hAnsi="Times New Roman" w:cs="Times New Roman"/>
          <w:b/>
          <w:bCs/>
          <w:sz w:val="24"/>
          <w:szCs w:val="24"/>
        </w:rPr>
        <w:t>Farmakologi</w:t>
      </w:r>
      <w:r w:rsidR="00AA5AC0">
        <w:rPr>
          <w:rFonts w:ascii="Times New Roman" w:hAnsi="Times New Roman" w:cs="Times New Roman"/>
          <w:b/>
          <w:bCs/>
          <w:sz w:val="24"/>
          <w:szCs w:val="24"/>
        </w:rPr>
        <w:t>nės</w:t>
      </w:r>
      <w:r w:rsidRPr="008A169D">
        <w:rPr>
          <w:rFonts w:ascii="Times New Roman" w:hAnsi="Times New Roman" w:cs="Times New Roman"/>
          <w:b/>
          <w:bCs/>
          <w:sz w:val="24"/>
          <w:szCs w:val="24"/>
        </w:rPr>
        <w:t xml:space="preserve"> </w:t>
      </w:r>
      <w:r w:rsidR="00AA5AC0">
        <w:rPr>
          <w:rFonts w:ascii="Times New Roman" w:hAnsi="Times New Roman" w:cs="Times New Roman"/>
          <w:b/>
          <w:bCs/>
          <w:sz w:val="24"/>
          <w:szCs w:val="24"/>
        </w:rPr>
        <w:t>studijos</w:t>
      </w:r>
    </w:p>
    <w:p w14:paraId="6484D7F2" w14:textId="77777777" w:rsidR="005C5419" w:rsidRPr="005A26BA" w:rsidRDefault="00E025F3" w:rsidP="005C5419">
      <w:pPr>
        <w:spacing w:after="0" w:line="240" w:lineRule="auto"/>
        <w:jc w:val="both"/>
        <w:rPr>
          <w:rFonts w:ascii="Times New Roman" w:hAnsi="Times New Roman" w:cs="Times New Roman"/>
          <w:sz w:val="24"/>
          <w:szCs w:val="24"/>
        </w:rPr>
      </w:pPr>
      <w:r w:rsidRPr="005A26BA">
        <w:rPr>
          <w:rFonts w:ascii="Times New Roman" w:hAnsi="Times New Roman" w:cs="Times New Roman"/>
          <w:sz w:val="24"/>
          <w:szCs w:val="24"/>
        </w:rPr>
        <w:t>Pareiškėjas remdamasi</w:t>
      </w:r>
      <w:r w:rsidR="00665990" w:rsidRPr="005A26BA">
        <w:rPr>
          <w:rFonts w:ascii="Times New Roman" w:hAnsi="Times New Roman" w:cs="Times New Roman"/>
          <w:sz w:val="24"/>
          <w:szCs w:val="24"/>
        </w:rPr>
        <w:t xml:space="preserve">s literatūros duomenimis ir atliktais tyrimais </w:t>
      </w:r>
      <w:r w:rsidR="007A7CA8" w:rsidRPr="005A26BA">
        <w:rPr>
          <w:rFonts w:ascii="Times New Roman" w:hAnsi="Times New Roman" w:cs="Times New Roman"/>
          <w:sz w:val="24"/>
          <w:szCs w:val="24"/>
        </w:rPr>
        <w:t>pa</w:t>
      </w:r>
      <w:r w:rsidR="00E41C7A" w:rsidRPr="005A26BA">
        <w:rPr>
          <w:rFonts w:ascii="Times New Roman" w:hAnsi="Times New Roman" w:cs="Times New Roman"/>
          <w:sz w:val="24"/>
          <w:szCs w:val="24"/>
        </w:rPr>
        <w:t>teikia</w:t>
      </w:r>
      <w:r w:rsidR="007A7CA8" w:rsidRPr="005A26BA">
        <w:rPr>
          <w:rFonts w:ascii="Times New Roman" w:hAnsi="Times New Roman" w:cs="Times New Roman"/>
          <w:sz w:val="24"/>
          <w:szCs w:val="24"/>
        </w:rPr>
        <w:t xml:space="preserve"> </w:t>
      </w:r>
      <w:r w:rsidR="00E41C7A" w:rsidRPr="005A26BA">
        <w:rPr>
          <w:rFonts w:ascii="Times New Roman" w:hAnsi="Times New Roman" w:cs="Times New Roman"/>
          <w:sz w:val="24"/>
          <w:szCs w:val="24"/>
        </w:rPr>
        <w:t>išsami</w:t>
      </w:r>
      <w:r w:rsidR="004C50EE" w:rsidRPr="005A26BA">
        <w:rPr>
          <w:rFonts w:ascii="Times New Roman" w:hAnsi="Times New Roman" w:cs="Times New Roman"/>
          <w:sz w:val="24"/>
          <w:szCs w:val="24"/>
        </w:rPr>
        <w:t>as</w:t>
      </w:r>
      <w:r w:rsidR="007A7CA8" w:rsidRPr="005A26BA">
        <w:rPr>
          <w:rFonts w:ascii="Times New Roman" w:hAnsi="Times New Roman" w:cs="Times New Roman"/>
          <w:sz w:val="24"/>
          <w:szCs w:val="24"/>
        </w:rPr>
        <w:t xml:space="preserve"> vaisto veikliųjų medžiagų </w:t>
      </w:r>
      <w:proofErr w:type="spellStart"/>
      <w:r w:rsidR="008C1110" w:rsidRPr="005A26BA">
        <w:rPr>
          <w:rFonts w:ascii="Times New Roman" w:hAnsi="Times New Roman" w:cs="Times New Roman"/>
          <w:sz w:val="24"/>
          <w:szCs w:val="24"/>
        </w:rPr>
        <w:t>farmakodinamines</w:t>
      </w:r>
      <w:proofErr w:type="spellEnd"/>
      <w:r w:rsidR="008C1110" w:rsidRPr="005A26BA">
        <w:rPr>
          <w:rFonts w:ascii="Times New Roman" w:hAnsi="Times New Roman" w:cs="Times New Roman"/>
          <w:sz w:val="24"/>
          <w:szCs w:val="24"/>
        </w:rPr>
        <w:t xml:space="preserve"> ir </w:t>
      </w:r>
      <w:proofErr w:type="spellStart"/>
      <w:r w:rsidR="008C1110" w:rsidRPr="005A26BA">
        <w:rPr>
          <w:rFonts w:ascii="Times New Roman" w:hAnsi="Times New Roman" w:cs="Times New Roman"/>
          <w:sz w:val="24"/>
          <w:szCs w:val="24"/>
        </w:rPr>
        <w:t>farmakokinetin</w:t>
      </w:r>
      <w:r w:rsidR="004C50EE" w:rsidRPr="005A26BA">
        <w:rPr>
          <w:rFonts w:ascii="Times New Roman" w:hAnsi="Times New Roman" w:cs="Times New Roman"/>
          <w:sz w:val="24"/>
          <w:szCs w:val="24"/>
        </w:rPr>
        <w:t>es</w:t>
      </w:r>
      <w:proofErr w:type="spellEnd"/>
      <w:r w:rsidR="008C1110" w:rsidRPr="005A26BA">
        <w:rPr>
          <w:rFonts w:ascii="Times New Roman" w:hAnsi="Times New Roman" w:cs="Times New Roman"/>
          <w:sz w:val="24"/>
          <w:szCs w:val="24"/>
        </w:rPr>
        <w:t xml:space="preserve"> charakteristikas.</w:t>
      </w:r>
      <w:r w:rsidR="004C50EE" w:rsidRPr="005A26BA">
        <w:rPr>
          <w:rFonts w:ascii="Times New Roman" w:hAnsi="Times New Roman" w:cs="Times New Roman"/>
          <w:sz w:val="24"/>
          <w:szCs w:val="24"/>
        </w:rPr>
        <w:t xml:space="preserve"> Vaisto sudėtyje esantis </w:t>
      </w:r>
      <w:proofErr w:type="spellStart"/>
      <w:r w:rsidR="005C5419" w:rsidRPr="005A26BA">
        <w:rPr>
          <w:rFonts w:ascii="Times New Roman" w:hAnsi="Times New Roman" w:cs="Times New Roman"/>
          <w:sz w:val="24"/>
          <w:szCs w:val="24"/>
        </w:rPr>
        <w:t>albendazolas</w:t>
      </w:r>
      <w:proofErr w:type="spellEnd"/>
      <w:r w:rsidR="005C5419" w:rsidRPr="005A26BA">
        <w:rPr>
          <w:rFonts w:ascii="Times New Roman" w:hAnsi="Times New Roman" w:cs="Times New Roman"/>
          <w:sz w:val="24"/>
          <w:szCs w:val="24"/>
        </w:rPr>
        <w:t xml:space="preserve"> greitai </w:t>
      </w:r>
      <w:proofErr w:type="spellStart"/>
      <w:r w:rsidR="005C5419" w:rsidRPr="005A26BA">
        <w:rPr>
          <w:rFonts w:ascii="Times New Roman" w:hAnsi="Times New Roman" w:cs="Times New Roman"/>
          <w:sz w:val="24"/>
          <w:szCs w:val="24"/>
        </w:rPr>
        <w:t>metabolizuojamas</w:t>
      </w:r>
      <w:proofErr w:type="spellEnd"/>
      <w:r w:rsidR="005C5419" w:rsidRPr="005A26BA">
        <w:rPr>
          <w:rFonts w:ascii="Times New Roman" w:hAnsi="Times New Roman" w:cs="Times New Roman"/>
          <w:sz w:val="24"/>
          <w:szCs w:val="24"/>
        </w:rPr>
        <w:t xml:space="preserve"> į </w:t>
      </w:r>
      <w:proofErr w:type="spellStart"/>
      <w:r w:rsidR="005C5419" w:rsidRPr="005A26BA">
        <w:rPr>
          <w:rFonts w:ascii="Times New Roman" w:hAnsi="Times New Roman" w:cs="Times New Roman"/>
          <w:sz w:val="24"/>
          <w:szCs w:val="24"/>
        </w:rPr>
        <w:t>albendazolo</w:t>
      </w:r>
      <w:proofErr w:type="spellEnd"/>
      <w:r w:rsidR="005C5419" w:rsidRPr="005A26BA">
        <w:rPr>
          <w:rFonts w:ascii="Times New Roman" w:hAnsi="Times New Roman" w:cs="Times New Roman"/>
          <w:sz w:val="24"/>
          <w:szCs w:val="24"/>
        </w:rPr>
        <w:t xml:space="preserve"> </w:t>
      </w:r>
      <w:proofErr w:type="spellStart"/>
      <w:r w:rsidR="005C5419" w:rsidRPr="005A26BA">
        <w:rPr>
          <w:rFonts w:ascii="Times New Roman" w:hAnsi="Times New Roman" w:cs="Times New Roman"/>
          <w:sz w:val="24"/>
          <w:szCs w:val="24"/>
        </w:rPr>
        <w:t>sulfoksidą</w:t>
      </w:r>
      <w:proofErr w:type="spellEnd"/>
      <w:r w:rsidR="005C5419" w:rsidRPr="005A26BA">
        <w:rPr>
          <w:rFonts w:ascii="Times New Roman" w:hAnsi="Times New Roman" w:cs="Times New Roman"/>
          <w:sz w:val="24"/>
          <w:szCs w:val="24"/>
        </w:rPr>
        <w:t xml:space="preserve">, kurio koncentracija galvijų plazmoje po </w:t>
      </w:r>
      <w:proofErr w:type="spellStart"/>
      <w:r w:rsidR="005C5419" w:rsidRPr="005A26BA">
        <w:rPr>
          <w:rFonts w:ascii="Times New Roman" w:hAnsi="Times New Roman" w:cs="Times New Roman"/>
          <w:sz w:val="24"/>
          <w:szCs w:val="24"/>
        </w:rPr>
        <w:t>peroralinio</w:t>
      </w:r>
      <w:proofErr w:type="spellEnd"/>
      <w:r w:rsidR="005C5419" w:rsidRPr="005A26BA">
        <w:rPr>
          <w:rFonts w:ascii="Times New Roman" w:hAnsi="Times New Roman" w:cs="Times New Roman"/>
          <w:sz w:val="24"/>
          <w:szCs w:val="24"/>
        </w:rPr>
        <w:t xml:space="preserve"> naudojimo išlieka didesnė ilgiau, o didžiausia koncentracija plazmoje pasiekiama </w:t>
      </w:r>
      <w:r w:rsidR="005C5419" w:rsidRPr="005A26BA">
        <w:rPr>
          <w:rFonts w:ascii="Times New Roman" w:hAnsi="Times New Roman" w:cs="Times New Roman"/>
          <w:sz w:val="24"/>
          <w:szCs w:val="24"/>
        </w:rPr>
        <w:lastRenderedPageBreak/>
        <w:t xml:space="preserve">maždaug po 15 valandų. Galvijams sugirdžius 10 mg </w:t>
      </w:r>
      <w:proofErr w:type="spellStart"/>
      <w:r w:rsidR="005C5419" w:rsidRPr="005A26BA">
        <w:rPr>
          <w:rFonts w:ascii="Times New Roman" w:hAnsi="Times New Roman" w:cs="Times New Roman"/>
          <w:sz w:val="24"/>
          <w:szCs w:val="24"/>
        </w:rPr>
        <w:t>albendazolo</w:t>
      </w:r>
      <w:proofErr w:type="spellEnd"/>
      <w:r w:rsidR="005C5419" w:rsidRPr="005A26BA">
        <w:rPr>
          <w:rFonts w:ascii="Times New Roman" w:hAnsi="Times New Roman" w:cs="Times New Roman"/>
          <w:sz w:val="24"/>
          <w:szCs w:val="24"/>
        </w:rPr>
        <w:t xml:space="preserve"> </w:t>
      </w:r>
      <w:proofErr w:type="spellStart"/>
      <w:r w:rsidR="005C5419" w:rsidRPr="005A26BA">
        <w:rPr>
          <w:rFonts w:ascii="Times New Roman" w:hAnsi="Times New Roman" w:cs="Times New Roman"/>
          <w:sz w:val="24"/>
          <w:szCs w:val="24"/>
        </w:rPr>
        <w:t>sulfoksido</w:t>
      </w:r>
      <w:proofErr w:type="spellEnd"/>
      <w:r w:rsidR="005C5419" w:rsidRPr="005A26BA">
        <w:rPr>
          <w:rFonts w:ascii="Times New Roman" w:hAnsi="Times New Roman" w:cs="Times New Roman"/>
          <w:sz w:val="24"/>
          <w:szCs w:val="24"/>
        </w:rPr>
        <w:t xml:space="preserve"> 1 kg kūno svorio dozę, nustatyta: </w:t>
      </w:r>
      <w:proofErr w:type="spellStart"/>
      <w:r w:rsidR="005C5419" w:rsidRPr="005A26BA">
        <w:rPr>
          <w:rFonts w:ascii="Times New Roman" w:hAnsi="Times New Roman" w:cs="Times New Roman"/>
          <w:sz w:val="24"/>
          <w:szCs w:val="24"/>
        </w:rPr>
        <w:t>Cmax</w:t>
      </w:r>
      <w:proofErr w:type="spellEnd"/>
      <w:r w:rsidR="005C5419" w:rsidRPr="005A26BA">
        <w:rPr>
          <w:rFonts w:ascii="Times New Roman" w:hAnsi="Times New Roman" w:cs="Times New Roman"/>
          <w:sz w:val="24"/>
          <w:szCs w:val="24"/>
        </w:rPr>
        <w:t xml:space="preserve"> – 1951,43 </w:t>
      </w:r>
      <w:proofErr w:type="spellStart"/>
      <w:r w:rsidR="005C5419" w:rsidRPr="005A26BA">
        <w:rPr>
          <w:rFonts w:ascii="Times New Roman" w:hAnsi="Times New Roman" w:cs="Times New Roman"/>
          <w:sz w:val="24"/>
          <w:szCs w:val="24"/>
        </w:rPr>
        <w:t>ng</w:t>
      </w:r>
      <w:proofErr w:type="spellEnd"/>
      <w:r w:rsidR="005C5419" w:rsidRPr="005A26BA">
        <w:rPr>
          <w:rFonts w:ascii="Times New Roman" w:hAnsi="Times New Roman" w:cs="Times New Roman"/>
          <w:sz w:val="24"/>
          <w:szCs w:val="24"/>
        </w:rPr>
        <w:t xml:space="preserve">/ml, t½ – 2,4 valandos, o AUC – 32319,0 </w:t>
      </w:r>
      <w:proofErr w:type="spellStart"/>
      <w:r w:rsidR="005C5419" w:rsidRPr="005A26BA">
        <w:rPr>
          <w:rFonts w:ascii="Times New Roman" w:hAnsi="Times New Roman" w:cs="Times New Roman"/>
          <w:sz w:val="24"/>
          <w:szCs w:val="24"/>
        </w:rPr>
        <w:t>ng.val</w:t>
      </w:r>
      <w:proofErr w:type="spellEnd"/>
      <w:r w:rsidR="005C5419" w:rsidRPr="005A26BA">
        <w:rPr>
          <w:rFonts w:ascii="Times New Roman" w:hAnsi="Times New Roman" w:cs="Times New Roman"/>
          <w:sz w:val="24"/>
          <w:szCs w:val="24"/>
        </w:rPr>
        <w:t xml:space="preserve">./ml. Išsiskyrimas daugiausia vyksta su išmatomis, svarbiausias eliminacijos būdas yra išsiskyrimas su tulžimi (tik su galvijais atlikti tyrimai). </w:t>
      </w:r>
    </w:p>
    <w:p w14:paraId="2B3DC426" w14:textId="6A373F50" w:rsidR="005C5419" w:rsidRPr="005A26BA" w:rsidRDefault="005C5419" w:rsidP="005C5419">
      <w:pPr>
        <w:spacing w:after="0" w:line="240" w:lineRule="auto"/>
        <w:jc w:val="both"/>
        <w:rPr>
          <w:rFonts w:ascii="Times New Roman" w:hAnsi="Times New Roman" w:cs="Times New Roman"/>
          <w:sz w:val="24"/>
          <w:szCs w:val="24"/>
        </w:rPr>
      </w:pPr>
      <w:proofErr w:type="spellStart"/>
      <w:r w:rsidRPr="005A26BA">
        <w:rPr>
          <w:rFonts w:ascii="Times New Roman" w:hAnsi="Times New Roman" w:cs="Times New Roman"/>
          <w:sz w:val="24"/>
          <w:szCs w:val="24"/>
        </w:rPr>
        <w:t>Benzimidazolai</w:t>
      </w:r>
      <w:proofErr w:type="spellEnd"/>
      <w:r w:rsidRPr="005A26BA">
        <w:rPr>
          <w:rFonts w:ascii="Times New Roman" w:hAnsi="Times New Roman" w:cs="Times New Roman"/>
          <w:sz w:val="24"/>
          <w:szCs w:val="24"/>
        </w:rPr>
        <w:t xml:space="preserve"> jungiasi su </w:t>
      </w:r>
      <w:proofErr w:type="spellStart"/>
      <w:r w:rsidRPr="005A26BA">
        <w:rPr>
          <w:rFonts w:ascii="Times New Roman" w:hAnsi="Times New Roman" w:cs="Times New Roman"/>
          <w:sz w:val="24"/>
          <w:szCs w:val="24"/>
        </w:rPr>
        <w:t>nematodo</w:t>
      </w:r>
      <w:proofErr w:type="spellEnd"/>
      <w:r w:rsidRPr="005A26BA">
        <w:rPr>
          <w:rFonts w:ascii="Times New Roman" w:hAnsi="Times New Roman" w:cs="Times New Roman"/>
          <w:sz w:val="24"/>
          <w:szCs w:val="24"/>
        </w:rPr>
        <w:t xml:space="preserve"> </w:t>
      </w:r>
      <w:proofErr w:type="spellStart"/>
      <w:r w:rsidRPr="005A26BA">
        <w:rPr>
          <w:rFonts w:ascii="Times New Roman" w:hAnsi="Times New Roman" w:cs="Times New Roman"/>
          <w:sz w:val="24"/>
          <w:szCs w:val="24"/>
        </w:rPr>
        <w:t>tubulinu</w:t>
      </w:r>
      <w:proofErr w:type="spellEnd"/>
      <w:r w:rsidRPr="005A26BA">
        <w:rPr>
          <w:rFonts w:ascii="Times New Roman" w:hAnsi="Times New Roman" w:cs="Times New Roman"/>
          <w:sz w:val="24"/>
          <w:szCs w:val="24"/>
        </w:rPr>
        <w:t xml:space="preserve"> – baltymu, būtinu </w:t>
      </w:r>
      <w:proofErr w:type="spellStart"/>
      <w:r w:rsidRPr="005A26BA">
        <w:rPr>
          <w:rFonts w:ascii="Times New Roman" w:hAnsi="Times New Roman" w:cs="Times New Roman"/>
          <w:sz w:val="24"/>
          <w:szCs w:val="24"/>
        </w:rPr>
        <w:t>mikrotubulių</w:t>
      </w:r>
      <w:proofErr w:type="spellEnd"/>
      <w:r w:rsidRPr="005A26BA">
        <w:rPr>
          <w:rFonts w:ascii="Times New Roman" w:hAnsi="Times New Roman" w:cs="Times New Roman"/>
          <w:sz w:val="24"/>
          <w:szCs w:val="24"/>
        </w:rPr>
        <w:t xml:space="preserve"> susidarymui ir gyvybingumui. Tai pirmiausiai pasireiškia absorbuojančiose žarnyno ląstelėse, todėl </w:t>
      </w:r>
      <w:proofErr w:type="spellStart"/>
      <w:r w:rsidRPr="005A26BA">
        <w:rPr>
          <w:rFonts w:ascii="Times New Roman" w:hAnsi="Times New Roman" w:cs="Times New Roman"/>
          <w:sz w:val="24"/>
          <w:szCs w:val="24"/>
        </w:rPr>
        <w:t>nematodo</w:t>
      </w:r>
      <w:proofErr w:type="spellEnd"/>
      <w:r w:rsidRPr="005A26BA">
        <w:rPr>
          <w:rFonts w:ascii="Times New Roman" w:hAnsi="Times New Roman" w:cs="Times New Roman"/>
          <w:sz w:val="24"/>
          <w:szCs w:val="24"/>
        </w:rPr>
        <w:t xml:space="preserve"> žarnyno ląstelėse nelieka </w:t>
      </w:r>
      <w:proofErr w:type="spellStart"/>
      <w:r w:rsidRPr="005A26BA">
        <w:rPr>
          <w:rFonts w:ascii="Times New Roman" w:hAnsi="Times New Roman" w:cs="Times New Roman"/>
          <w:sz w:val="24"/>
          <w:szCs w:val="24"/>
        </w:rPr>
        <w:t>mikrotubulių</w:t>
      </w:r>
      <w:proofErr w:type="spellEnd"/>
      <w:r w:rsidRPr="005A26BA">
        <w:rPr>
          <w:rFonts w:ascii="Times New Roman" w:hAnsi="Times New Roman" w:cs="Times New Roman"/>
          <w:sz w:val="24"/>
          <w:szCs w:val="24"/>
        </w:rPr>
        <w:t xml:space="preserve">, dėl to šios ląstelės negali absorbuoti maistinių medžiagų, o tai lemia glikogeno kiekio sumažėjimą ir veiksmingą parazitų badavimą. Įrodyti struktūriniai skirtumai tarp </w:t>
      </w:r>
      <w:proofErr w:type="spellStart"/>
      <w:r w:rsidRPr="005A26BA">
        <w:rPr>
          <w:rFonts w:ascii="Times New Roman" w:hAnsi="Times New Roman" w:cs="Times New Roman"/>
          <w:sz w:val="24"/>
          <w:szCs w:val="24"/>
        </w:rPr>
        <w:t>tubulino</w:t>
      </w:r>
      <w:proofErr w:type="spellEnd"/>
      <w:r w:rsidRPr="005A26BA">
        <w:rPr>
          <w:rFonts w:ascii="Times New Roman" w:hAnsi="Times New Roman" w:cs="Times New Roman"/>
          <w:sz w:val="24"/>
          <w:szCs w:val="24"/>
        </w:rPr>
        <w:t xml:space="preserve"> iš žinduolių ir </w:t>
      </w:r>
      <w:proofErr w:type="spellStart"/>
      <w:r w:rsidRPr="005A26BA">
        <w:rPr>
          <w:rFonts w:ascii="Times New Roman" w:hAnsi="Times New Roman" w:cs="Times New Roman"/>
          <w:sz w:val="24"/>
          <w:szCs w:val="24"/>
        </w:rPr>
        <w:t>helmintų</w:t>
      </w:r>
      <w:proofErr w:type="spellEnd"/>
      <w:r w:rsidRPr="005A26BA">
        <w:rPr>
          <w:rFonts w:ascii="Times New Roman" w:hAnsi="Times New Roman" w:cs="Times New Roman"/>
          <w:sz w:val="24"/>
          <w:szCs w:val="24"/>
        </w:rPr>
        <w:t xml:space="preserve"> šaltinių, todėl </w:t>
      </w:r>
      <w:proofErr w:type="spellStart"/>
      <w:r w:rsidRPr="005A26BA">
        <w:rPr>
          <w:rFonts w:ascii="Times New Roman" w:hAnsi="Times New Roman" w:cs="Times New Roman"/>
          <w:sz w:val="24"/>
          <w:szCs w:val="24"/>
        </w:rPr>
        <w:t>albendazolas</w:t>
      </w:r>
      <w:proofErr w:type="spellEnd"/>
      <w:r w:rsidRPr="005A26BA">
        <w:rPr>
          <w:rFonts w:ascii="Times New Roman" w:hAnsi="Times New Roman" w:cs="Times New Roman"/>
          <w:sz w:val="24"/>
          <w:szCs w:val="24"/>
        </w:rPr>
        <w:t xml:space="preserve"> yra labiau toksiškas </w:t>
      </w:r>
      <w:proofErr w:type="spellStart"/>
      <w:r w:rsidRPr="005A26BA">
        <w:rPr>
          <w:rFonts w:ascii="Times New Roman" w:hAnsi="Times New Roman" w:cs="Times New Roman"/>
          <w:sz w:val="24"/>
          <w:szCs w:val="24"/>
        </w:rPr>
        <w:t>helmintui</w:t>
      </w:r>
      <w:proofErr w:type="spellEnd"/>
      <w:r w:rsidRPr="005A26BA">
        <w:rPr>
          <w:rFonts w:ascii="Times New Roman" w:hAnsi="Times New Roman" w:cs="Times New Roman"/>
          <w:sz w:val="24"/>
          <w:szCs w:val="24"/>
        </w:rPr>
        <w:t xml:space="preserve">, o ne šeimininkui. Taip pat įrodyta, kad </w:t>
      </w:r>
      <w:proofErr w:type="spellStart"/>
      <w:r w:rsidRPr="005A26BA">
        <w:rPr>
          <w:rFonts w:ascii="Times New Roman" w:hAnsi="Times New Roman" w:cs="Times New Roman"/>
          <w:sz w:val="24"/>
          <w:szCs w:val="24"/>
        </w:rPr>
        <w:t>benzimidazolai</w:t>
      </w:r>
      <w:proofErr w:type="spellEnd"/>
      <w:r w:rsidRPr="005A26BA">
        <w:rPr>
          <w:rFonts w:ascii="Times New Roman" w:hAnsi="Times New Roman" w:cs="Times New Roman"/>
          <w:sz w:val="24"/>
          <w:szCs w:val="24"/>
        </w:rPr>
        <w:t xml:space="preserve"> slopina </w:t>
      </w:r>
      <w:proofErr w:type="spellStart"/>
      <w:r w:rsidRPr="005A26BA">
        <w:rPr>
          <w:rFonts w:ascii="Times New Roman" w:hAnsi="Times New Roman" w:cs="Times New Roman"/>
          <w:sz w:val="24"/>
          <w:szCs w:val="24"/>
        </w:rPr>
        <w:t>helmintų</w:t>
      </w:r>
      <w:proofErr w:type="spellEnd"/>
      <w:r w:rsidRPr="005A26BA">
        <w:rPr>
          <w:rFonts w:ascii="Times New Roman" w:hAnsi="Times New Roman" w:cs="Times New Roman"/>
          <w:sz w:val="24"/>
          <w:szCs w:val="24"/>
        </w:rPr>
        <w:t xml:space="preserve"> </w:t>
      </w:r>
      <w:proofErr w:type="spellStart"/>
      <w:r w:rsidRPr="005A26BA">
        <w:rPr>
          <w:rFonts w:ascii="Times New Roman" w:hAnsi="Times New Roman" w:cs="Times New Roman"/>
          <w:sz w:val="24"/>
          <w:szCs w:val="24"/>
        </w:rPr>
        <w:t>fumarato</w:t>
      </w:r>
      <w:proofErr w:type="spellEnd"/>
      <w:r w:rsidRPr="005A26BA">
        <w:rPr>
          <w:rFonts w:ascii="Times New Roman" w:hAnsi="Times New Roman" w:cs="Times New Roman"/>
          <w:sz w:val="24"/>
          <w:szCs w:val="24"/>
        </w:rPr>
        <w:t xml:space="preserve"> reduktazės sistemą ir sutrikdo energijos gamybą.</w:t>
      </w:r>
    </w:p>
    <w:p w14:paraId="454C5E53" w14:textId="7B9ABC0B" w:rsidR="005C5419" w:rsidRDefault="005C5419" w:rsidP="005C5419">
      <w:pPr>
        <w:spacing w:line="240" w:lineRule="auto"/>
        <w:jc w:val="both"/>
      </w:pPr>
    </w:p>
    <w:p w14:paraId="0830FA14" w14:textId="6298C4D6" w:rsidR="00383340" w:rsidRPr="008A169D" w:rsidRDefault="00383340" w:rsidP="00F933E3">
      <w:pPr>
        <w:jc w:val="both"/>
        <w:rPr>
          <w:rFonts w:ascii="Times New Roman" w:hAnsi="Times New Roman" w:cs="Times New Roman"/>
          <w:b/>
          <w:sz w:val="24"/>
          <w:szCs w:val="24"/>
        </w:rPr>
      </w:pPr>
      <w:proofErr w:type="spellStart"/>
      <w:r w:rsidRPr="008A169D">
        <w:rPr>
          <w:rFonts w:ascii="Times New Roman" w:hAnsi="Times New Roman" w:cs="Times New Roman"/>
          <w:b/>
          <w:sz w:val="24"/>
          <w:szCs w:val="24"/>
        </w:rPr>
        <w:t>Toksikologi</w:t>
      </w:r>
      <w:r w:rsidR="0083658E">
        <w:rPr>
          <w:rFonts w:ascii="Times New Roman" w:hAnsi="Times New Roman" w:cs="Times New Roman"/>
          <w:b/>
          <w:sz w:val="24"/>
          <w:szCs w:val="24"/>
        </w:rPr>
        <w:t>n</w:t>
      </w:r>
      <w:r w:rsidR="00AA5AC0">
        <w:rPr>
          <w:rFonts w:ascii="Times New Roman" w:hAnsi="Times New Roman" w:cs="Times New Roman"/>
          <w:b/>
          <w:sz w:val="24"/>
          <w:szCs w:val="24"/>
        </w:rPr>
        <w:t>ės</w:t>
      </w:r>
      <w:proofErr w:type="spellEnd"/>
      <w:r w:rsidR="00AA5AC0">
        <w:rPr>
          <w:rFonts w:ascii="Times New Roman" w:hAnsi="Times New Roman" w:cs="Times New Roman"/>
          <w:b/>
          <w:sz w:val="24"/>
          <w:szCs w:val="24"/>
        </w:rPr>
        <w:t xml:space="preserve"> studijos</w:t>
      </w:r>
    </w:p>
    <w:p w14:paraId="0E2AD885" w14:textId="2F793664" w:rsidR="00BD4AB3" w:rsidRDefault="003542CB" w:rsidP="00DC140E">
      <w:pPr>
        <w:ind w:firstLine="567"/>
        <w:jc w:val="both"/>
        <w:rPr>
          <w:rFonts w:ascii="Times New Roman" w:hAnsi="Times New Roman" w:cs="Times New Roman"/>
          <w:bCs/>
          <w:sz w:val="24"/>
          <w:szCs w:val="24"/>
        </w:rPr>
      </w:pPr>
      <w:proofErr w:type="spellStart"/>
      <w:r>
        <w:rPr>
          <w:rFonts w:ascii="Times New Roman" w:hAnsi="Times New Roman" w:cs="Times New Roman"/>
          <w:bCs/>
          <w:sz w:val="24"/>
          <w:szCs w:val="24"/>
        </w:rPr>
        <w:t>T</w:t>
      </w:r>
      <w:r w:rsidR="008A1A6D">
        <w:rPr>
          <w:rFonts w:ascii="Times New Roman" w:hAnsi="Times New Roman" w:cs="Times New Roman"/>
          <w:bCs/>
          <w:sz w:val="24"/>
          <w:szCs w:val="24"/>
        </w:rPr>
        <w:t>oksikologiniai</w:t>
      </w:r>
      <w:proofErr w:type="spellEnd"/>
      <w:r w:rsidR="00BC311F">
        <w:rPr>
          <w:rFonts w:ascii="Times New Roman" w:hAnsi="Times New Roman" w:cs="Times New Roman"/>
          <w:bCs/>
          <w:sz w:val="24"/>
          <w:szCs w:val="24"/>
        </w:rPr>
        <w:t xml:space="preserve"> veikliųjų medžiagų toksiškumo duomenys pateikti iš mokslinės literatūros.</w:t>
      </w:r>
      <w:r w:rsidR="00693B8B">
        <w:rPr>
          <w:rFonts w:ascii="Times New Roman" w:hAnsi="Times New Roman" w:cs="Times New Roman"/>
          <w:bCs/>
          <w:sz w:val="24"/>
          <w:szCs w:val="24"/>
        </w:rPr>
        <w:t xml:space="preserve"> </w:t>
      </w:r>
      <w:r w:rsidR="00693B8B" w:rsidRPr="00693B8B">
        <w:rPr>
          <w:rFonts w:ascii="Times New Roman" w:hAnsi="Times New Roman" w:cs="Times New Roman"/>
          <w:bCs/>
          <w:sz w:val="24"/>
          <w:szCs w:val="24"/>
        </w:rPr>
        <w:t>Veterinarinio vaisto toksiškumas paskirties rūšių gyvūnams yra labai mažas.</w:t>
      </w:r>
    </w:p>
    <w:p w14:paraId="16CE91C1" w14:textId="26D9DA69" w:rsidR="00692F20" w:rsidRPr="008C15E7" w:rsidRDefault="008C15E7" w:rsidP="00EE36EF">
      <w:pPr>
        <w:jc w:val="both"/>
        <w:rPr>
          <w:rFonts w:ascii="Times New Roman" w:hAnsi="Times New Roman" w:cs="Times New Roman"/>
          <w:b/>
          <w:sz w:val="24"/>
          <w:szCs w:val="24"/>
        </w:rPr>
      </w:pPr>
      <w:r w:rsidRPr="008C15E7">
        <w:rPr>
          <w:rFonts w:ascii="Times New Roman" w:hAnsi="Times New Roman" w:cs="Times New Roman"/>
          <w:b/>
          <w:sz w:val="24"/>
          <w:szCs w:val="24"/>
        </w:rPr>
        <w:t>Saugumas paskirties gyvūnams</w:t>
      </w:r>
    </w:p>
    <w:p w14:paraId="4B0F0CA6" w14:textId="0E41A5BE" w:rsidR="009913C7" w:rsidRPr="006505B9" w:rsidRDefault="00692F20" w:rsidP="003542CB">
      <w:pPr>
        <w:spacing w:line="240" w:lineRule="auto"/>
        <w:ind w:firstLine="1296"/>
        <w:jc w:val="both"/>
        <w:rPr>
          <w:rFonts w:ascii="Times New Roman" w:hAnsi="Times New Roman" w:cs="Times New Roman"/>
          <w:sz w:val="24"/>
          <w:szCs w:val="24"/>
        </w:rPr>
      </w:pPr>
      <w:r>
        <w:rPr>
          <w:rFonts w:ascii="Times New Roman" w:hAnsi="Times New Roman" w:cs="Times New Roman"/>
          <w:sz w:val="24"/>
          <w:szCs w:val="24"/>
        </w:rPr>
        <w:t>T</w:t>
      </w:r>
      <w:r w:rsidRPr="00003B11">
        <w:rPr>
          <w:rFonts w:ascii="Times New Roman" w:hAnsi="Times New Roman" w:cs="Times New Roman"/>
          <w:sz w:val="24"/>
          <w:szCs w:val="24"/>
        </w:rPr>
        <w:t xml:space="preserve">ikslinių gyvūnų </w:t>
      </w:r>
      <w:r>
        <w:rPr>
          <w:rFonts w:ascii="Times New Roman" w:hAnsi="Times New Roman" w:cs="Times New Roman"/>
          <w:sz w:val="24"/>
          <w:szCs w:val="24"/>
        </w:rPr>
        <w:t xml:space="preserve">(galvijų) </w:t>
      </w:r>
      <w:r w:rsidRPr="00003B11">
        <w:rPr>
          <w:rFonts w:ascii="Times New Roman" w:hAnsi="Times New Roman" w:cs="Times New Roman"/>
          <w:sz w:val="24"/>
          <w:szCs w:val="24"/>
        </w:rPr>
        <w:t xml:space="preserve">saugos tyrimo rezultatai buvo pateikti kartu su </w:t>
      </w:r>
      <w:r>
        <w:rPr>
          <w:rFonts w:ascii="Times New Roman" w:hAnsi="Times New Roman" w:cs="Times New Roman"/>
          <w:sz w:val="24"/>
          <w:szCs w:val="24"/>
        </w:rPr>
        <w:t>duomenimis iš mokslinės</w:t>
      </w:r>
      <w:r w:rsidRPr="00003B11">
        <w:rPr>
          <w:rFonts w:ascii="Times New Roman" w:hAnsi="Times New Roman" w:cs="Times New Roman"/>
          <w:sz w:val="24"/>
          <w:szCs w:val="24"/>
        </w:rPr>
        <w:t xml:space="preserve"> literatūros, kuriose buvo tiriamas </w:t>
      </w:r>
      <w:r>
        <w:rPr>
          <w:rFonts w:ascii="Times New Roman" w:hAnsi="Times New Roman" w:cs="Times New Roman"/>
          <w:sz w:val="24"/>
          <w:szCs w:val="24"/>
        </w:rPr>
        <w:t>vaisto sudėtinių dalių</w:t>
      </w:r>
      <w:r w:rsidRPr="00003B11">
        <w:rPr>
          <w:rFonts w:ascii="Times New Roman" w:hAnsi="Times New Roman" w:cs="Times New Roman"/>
          <w:sz w:val="24"/>
          <w:szCs w:val="24"/>
        </w:rPr>
        <w:t xml:space="preserve"> saugumas. Remiantis šio tyrimo išvadomis </w:t>
      </w:r>
      <w:r>
        <w:rPr>
          <w:rFonts w:ascii="Times New Roman" w:hAnsi="Times New Roman" w:cs="Times New Roman"/>
          <w:sz w:val="24"/>
          <w:szCs w:val="24"/>
        </w:rPr>
        <w:t xml:space="preserve">VVA nurodoma: </w:t>
      </w:r>
      <w:r w:rsidR="009913C7" w:rsidRPr="006505B9">
        <w:rPr>
          <w:rFonts w:ascii="Times New Roman" w:hAnsi="Times New Roman" w:cs="Times New Roman"/>
          <w:sz w:val="24"/>
          <w:szCs w:val="24"/>
        </w:rPr>
        <w:t>Girdyti vaistą reikia atsargiai, kad nebūtų pažeista ryklės sritis, ypač avims. Galvijai, patyrę sunkų plaučių pažeidimą dėl didelio užsikrėtimo plaučių kirmėlėmis, gali ir toliau kosėti kelias savaites po užsikrėtimo.</w:t>
      </w:r>
      <w:r w:rsidR="006505B9" w:rsidRPr="006505B9">
        <w:rPr>
          <w:rFonts w:ascii="Times New Roman" w:hAnsi="Times New Roman" w:cs="Times New Roman"/>
          <w:sz w:val="24"/>
          <w:szCs w:val="24"/>
        </w:rPr>
        <w:t xml:space="preserve"> Gydymas per maža doze gali būti neveiksmingas ir paskatinti atsparumo vystymąsi. Siekiant užtikrinti tinkamą vaisto dozę, reikia kuo tiksliau nustatyti gyvulio kūno svorį. Jei gyvuliai turi būti gydomi kolektyviai, reikia sudaryti pakankamai vienodas grupes ir visiems grupės gyvūnams skirti sunkiausio gyvulio svorį atitinkančią dozę.</w:t>
      </w:r>
      <w:r w:rsidR="006505B9">
        <w:rPr>
          <w:rFonts w:ascii="Times New Roman" w:hAnsi="Times New Roman" w:cs="Times New Roman"/>
          <w:sz w:val="24"/>
          <w:szCs w:val="24"/>
        </w:rPr>
        <w:t xml:space="preserve"> </w:t>
      </w:r>
      <w:r w:rsidR="009913C7" w:rsidRPr="006505B9">
        <w:rPr>
          <w:rFonts w:ascii="Times New Roman" w:hAnsi="Times New Roman" w:cs="Times New Roman"/>
          <w:sz w:val="24"/>
          <w:szCs w:val="24"/>
        </w:rPr>
        <w:t>Negalima skiesti ar maišyti su kitais produktais. Vengti užteršimo naudojimo metu.</w:t>
      </w:r>
    </w:p>
    <w:p w14:paraId="43BA7E4A" w14:textId="4BCBCF13" w:rsidR="00C06533" w:rsidRPr="00CF3F63" w:rsidRDefault="00C06533" w:rsidP="00EE36EF">
      <w:pPr>
        <w:jc w:val="both"/>
        <w:rPr>
          <w:rFonts w:ascii="Times New Roman" w:hAnsi="Times New Roman" w:cs="Times New Roman"/>
          <w:b/>
          <w:sz w:val="24"/>
          <w:szCs w:val="24"/>
        </w:rPr>
      </w:pPr>
      <w:r w:rsidRPr="00CF3F63">
        <w:rPr>
          <w:rFonts w:ascii="Times New Roman" w:hAnsi="Times New Roman" w:cs="Times New Roman"/>
          <w:b/>
          <w:sz w:val="24"/>
          <w:szCs w:val="24"/>
        </w:rPr>
        <w:t>Saugumas naudotojui</w:t>
      </w:r>
    </w:p>
    <w:p w14:paraId="60DC43DE" w14:textId="158F37BB" w:rsidR="00383340" w:rsidRPr="006505B9" w:rsidRDefault="00DE74BF" w:rsidP="006505B9">
      <w:pPr>
        <w:ind w:firstLine="567"/>
        <w:jc w:val="both"/>
        <w:rPr>
          <w:rFonts w:ascii="Times New Roman" w:hAnsi="Times New Roman" w:cs="Times New Roman"/>
          <w:sz w:val="24"/>
          <w:szCs w:val="24"/>
        </w:rPr>
      </w:pPr>
      <w:r>
        <w:rPr>
          <w:rFonts w:ascii="Times New Roman" w:hAnsi="Times New Roman" w:cs="Times New Roman"/>
          <w:sz w:val="24"/>
          <w:szCs w:val="24"/>
        </w:rPr>
        <w:t xml:space="preserve">Pateiktas </w:t>
      </w:r>
      <w:r w:rsidR="00AB7263">
        <w:rPr>
          <w:rFonts w:ascii="Times New Roman" w:hAnsi="Times New Roman" w:cs="Times New Roman"/>
          <w:sz w:val="24"/>
          <w:szCs w:val="24"/>
        </w:rPr>
        <w:t>tinkamas vaisto saugumo naudotojui vertinimas, remiantis atitinkamų</w:t>
      </w:r>
      <w:r w:rsidR="00775882">
        <w:rPr>
          <w:rFonts w:ascii="Times New Roman" w:hAnsi="Times New Roman" w:cs="Times New Roman"/>
          <w:sz w:val="24"/>
          <w:szCs w:val="24"/>
        </w:rPr>
        <w:t xml:space="preserve"> </w:t>
      </w:r>
      <w:r w:rsidR="00030C25">
        <w:rPr>
          <w:rFonts w:ascii="Times New Roman" w:hAnsi="Times New Roman" w:cs="Times New Roman"/>
          <w:sz w:val="24"/>
          <w:szCs w:val="24"/>
        </w:rPr>
        <w:t xml:space="preserve">gairių reikalavimais. </w:t>
      </w:r>
      <w:r w:rsidR="00BD2F0E">
        <w:rPr>
          <w:rFonts w:ascii="Times New Roman" w:hAnsi="Times New Roman" w:cs="Times New Roman"/>
          <w:sz w:val="24"/>
          <w:szCs w:val="24"/>
        </w:rPr>
        <w:t>VVA nurodoma</w:t>
      </w:r>
      <w:r w:rsidR="00CF3F63">
        <w:rPr>
          <w:rFonts w:ascii="Times New Roman" w:hAnsi="Times New Roman" w:cs="Times New Roman"/>
          <w:sz w:val="24"/>
          <w:szCs w:val="24"/>
        </w:rPr>
        <w:t xml:space="preserve">: </w:t>
      </w:r>
      <w:r w:rsidR="005C5A78" w:rsidRPr="005C5A78">
        <w:rPr>
          <w:rFonts w:ascii="Times New Roman" w:hAnsi="Times New Roman" w:cs="Times New Roman"/>
          <w:sz w:val="24"/>
          <w:szCs w:val="24"/>
        </w:rPr>
        <w:t>Naudojant šį veterinarinį vaistą, negalima valgyti, rūkyti ir gerti.</w:t>
      </w:r>
      <w:r w:rsidR="005C5A78">
        <w:rPr>
          <w:rFonts w:ascii="Times New Roman" w:hAnsi="Times New Roman" w:cs="Times New Roman"/>
          <w:sz w:val="24"/>
          <w:szCs w:val="24"/>
        </w:rPr>
        <w:t xml:space="preserve"> </w:t>
      </w:r>
      <w:r w:rsidR="005C5A78" w:rsidRPr="005C5A78">
        <w:rPr>
          <w:rFonts w:ascii="Times New Roman" w:hAnsi="Times New Roman" w:cs="Times New Roman"/>
          <w:sz w:val="24"/>
          <w:szCs w:val="24"/>
        </w:rPr>
        <w:t>Atsitiktinai įsišvirkštus, įsišvirkštimo vietoje gali atsirasti nedidelis sudirginimas. Prireikus, būtina kreiptis į gydytoją.</w:t>
      </w:r>
      <w:r w:rsidR="005C5A78">
        <w:rPr>
          <w:rFonts w:ascii="Times New Roman" w:hAnsi="Times New Roman" w:cs="Times New Roman"/>
          <w:sz w:val="24"/>
          <w:szCs w:val="24"/>
        </w:rPr>
        <w:t xml:space="preserve"> </w:t>
      </w:r>
      <w:proofErr w:type="spellStart"/>
      <w:r w:rsidR="006505B9" w:rsidRPr="006505B9">
        <w:rPr>
          <w:rFonts w:ascii="Times New Roman" w:hAnsi="Times New Roman" w:cs="Times New Roman"/>
          <w:sz w:val="24"/>
          <w:szCs w:val="24"/>
        </w:rPr>
        <w:t>Albendazolas</w:t>
      </w:r>
      <w:proofErr w:type="spellEnd"/>
      <w:r w:rsidR="006505B9" w:rsidRPr="006505B9">
        <w:rPr>
          <w:rFonts w:ascii="Times New Roman" w:hAnsi="Times New Roman" w:cs="Times New Roman"/>
          <w:sz w:val="24"/>
          <w:szCs w:val="24"/>
        </w:rPr>
        <w:t xml:space="preserve"> ir </w:t>
      </w:r>
      <w:proofErr w:type="spellStart"/>
      <w:r w:rsidR="006505B9" w:rsidRPr="006505B9">
        <w:rPr>
          <w:rFonts w:ascii="Times New Roman" w:hAnsi="Times New Roman" w:cs="Times New Roman"/>
          <w:sz w:val="24"/>
          <w:szCs w:val="24"/>
        </w:rPr>
        <w:t>parahidroksibenzoinės</w:t>
      </w:r>
      <w:proofErr w:type="spellEnd"/>
      <w:r w:rsidR="006505B9" w:rsidRPr="006505B9">
        <w:rPr>
          <w:rFonts w:ascii="Times New Roman" w:hAnsi="Times New Roman" w:cs="Times New Roman"/>
          <w:sz w:val="24"/>
          <w:szCs w:val="24"/>
        </w:rPr>
        <w:t xml:space="preserve"> rūgšties esteriai gali sukelti alergines reakcijas. Žmonės, kuriems nustatytas padidėjęs jautrumas </w:t>
      </w:r>
      <w:proofErr w:type="spellStart"/>
      <w:r w:rsidR="006505B9" w:rsidRPr="006505B9">
        <w:rPr>
          <w:rFonts w:ascii="Times New Roman" w:hAnsi="Times New Roman" w:cs="Times New Roman"/>
          <w:sz w:val="24"/>
          <w:szCs w:val="24"/>
        </w:rPr>
        <w:t>albendazolui</w:t>
      </w:r>
      <w:proofErr w:type="spellEnd"/>
      <w:r w:rsidR="006505B9" w:rsidRPr="006505B9">
        <w:rPr>
          <w:rFonts w:ascii="Times New Roman" w:hAnsi="Times New Roman" w:cs="Times New Roman"/>
          <w:sz w:val="24"/>
          <w:szCs w:val="24"/>
        </w:rPr>
        <w:t xml:space="preserve"> arba </w:t>
      </w:r>
      <w:proofErr w:type="spellStart"/>
      <w:r w:rsidR="006505B9" w:rsidRPr="006505B9">
        <w:rPr>
          <w:rFonts w:ascii="Times New Roman" w:hAnsi="Times New Roman" w:cs="Times New Roman"/>
          <w:sz w:val="24"/>
          <w:szCs w:val="24"/>
        </w:rPr>
        <w:t>parahidroksibenzoatams</w:t>
      </w:r>
      <w:proofErr w:type="spellEnd"/>
      <w:r w:rsidR="006505B9" w:rsidRPr="006505B9">
        <w:rPr>
          <w:rFonts w:ascii="Times New Roman" w:hAnsi="Times New Roman" w:cs="Times New Roman"/>
          <w:sz w:val="24"/>
          <w:szCs w:val="24"/>
        </w:rPr>
        <w:t xml:space="preserve">, turi vengti sąlyčio su šiuo veterinariniu vaistu. Nėščioms ar ketinančioms pastoti moterims su veterinariniu vaistu dirbti negalima. </w:t>
      </w:r>
      <w:r w:rsidR="005C5A78" w:rsidRPr="006505B9">
        <w:rPr>
          <w:rFonts w:ascii="Times New Roman" w:hAnsi="Times New Roman" w:cs="Times New Roman"/>
          <w:sz w:val="24"/>
          <w:szCs w:val="24"/>
        </w:rPr>
        <w:t>Atsitiktinai prarijus, reikia nedelsiant kreiptis į gydytoją ir parodyti šio veterinarinio vaisto pakuotės lapelį ar etiketę</w:t>
      </w:r>
      <w:r w:rsidR="006505B9" w:rsidRPr="006505B9">
        <w:rPr>
          <w:rFonts w:ascii="Times New Roman" w:hAnsi="Times New Roman" w:cs="Times New Roman"/>
          <w:sz w:val="24"/>
          <w:szCs w:val="24"/>
        </w:rPr>
        <w:t xml:space="preserve">. </w:t>
      </w:r>
      <w:r w:rsidR="005F3A9C" w:rsidRPr="006505B9">
        <w:rPr>
          <w:rFonts w:ascii="Times New Roman" w:hAnsi="Times New Roman" w:cs="Times New Roman"/>
          <w:sz w:val="24"/>
          <w:szCs w:val="24"/>
        </w:rPr>
        <w:t>Pateikti įspėjimai ir saugos priemonės</w:t>
      </w:r>
      <w:r w:rsidR="00FE46F5" w:rsidRPr="006505B9">
        <w:rPr>
          <w:rFonts w:ascii="Times New Roman" w:hAnsi="Times New Roman" w:cs="Times New Roman"/>
          <w:sz w:val="24"/>
          <w:szCs w:val="24"/>
        </w:rPr>
        <w:t xml:space="preserve"> yra tinkamos bei pakankamos, kad būtų užtikrintas adekvatus</w:t>
      </w:r>
      <w:r w:rsidR="00A85479" w:rsidRPr="006505B9">
        <w:rPr>
          <w:rFonts w:ascii="Times New Roman" w:hAnsi="Times New Roman" w:cs="Times New Roman"/>
          <w:sz w:val="24"/>
          <w:szCs w:val="24"/>
        </w:rPr>
        <w:t xml:space="preserve"> veterinarinio vaisto naudotojo saugumas.</w:t>
      </w:r>
    </w:p>
    <w:p w14:paraId="110838EB" w14:textId="634E55A3" w:rsidR="000335CE" w:rsidRPr="001663AB" w:rsidRDefault="000335CE" w:rsidP="00AC6118">
      <w:pPr>
        <w:keepNext/>
        <w:spacing w:before="120"/>
        <w:jc w:val="both"/>
        <w:rPr>
          <w:rFonts w:ascii="Times New Roman" w:hAnsi="Times New Roman" w:cs="Times New Roman"/>
          <w:b/>
          <w:bCs/>
          <w:sz w:val="24"/>
          <w:szCs w:val="24"/>
        </w:rPr>
      </w:pPr>
      <w:r w:rsidRPr="001663AB">
        <w:rPr>
          <w:rFonts w:ascii="Times New Roman" w:hAnsi="Times New Roman" w:cs="Times New Roman"/>
          <w:b/>
          <w:bCs/>
          <w:sz w:val="24"/>
          <w:szCs w:val="24"/>
        </w:rPr>
        <w:t>Poveikio aplinkai vertinimas</w:t>
      </w:r>
    </w:p>
    <w:p w14:paraId="02B1D628" w14:textId="43111E74" w:rsidR="00030C25" w:rsidRDefault="00623271" w:rsidP="00AC6118">
      <w:pPr>
        <w:keepNext/>
        <w:ind w:firstLine="567"/>
        <w:jc w:val="both"/>
        <w:rPr>
          <w:rFonts w:ascii="Times New Roman" w:hAnsi="Times New Roman" w:cs="Times New Roman"/>
          <w:sz w:val="24"/>
          <w:szCs w:val="24"/>
        </w:rPr>
      </w:pPr>
      <w:r w:rsidRPr="00623271">
        <w:rPr>
          <w:rFonts w:ascii="Times New Roman" w:hAnsi="Times New Roman" w:cs="Times New Roman"/>
          <w:sz w:val="24"/>
          <w:szCs w:val="24"/>
        </w:rPr>
        <w:t xml:space="preserve">Buvo pateiktas rizikos aplinkai vertinimas. Buvo pripažinta, kad vertinimas gali būti baigtas I faze ir kad produktas nekels nepriimtino pavojaus aplinkai, kai bus tvarkomas, naudojamas, laikomas ir šalinamas pagal </w:t>
      </w:r>
      <w:r>
        <w:rPr>
          <w:rFonts w:ascii="Times New Roman" w:hAnsi="Times New Roman" w:cs="Times New Roman"/>
          <w:sz w:val="24"/>
          <w:szCs w:val="24"/>
        </w:rPr>
        <w:t>VVA</w:t>
      </w:r>
      <w:r w:rsidRPr="00623271">
        <w:rPr>
          <w:rFonts w:ascii="Times New Roman" w:hAnsi="Times New Roman" w:cs="Times New Roman"/>
          <w:sz w:val="24"/>
          <w:szCs w:val="24"/>
        </w:rPr>
        <w:t xml:space="preserve"> pateiktas rekomendacijas.</w:t>
      </w:r>
    </w:p>
    <w:p w14:paraId="5CAECDD0" w14:textId="10CEB6B7" w:rsidR="00815D23" w:rsidRPr="008A169D" w:rsidRDefault="00815D23" w:rsidP="00815D23">
      <w:pPr>
        <w:rPr>
          <w:rFonts w:ascii="Times New Roman" w:hAnsi="Times New Roman" w:cs="Times New Roman"/>
          <w:b/>
          <w:bCs/>
          <w:sz w:val="24"/>
          <w:szCs w:val="24"/>
        </w:rPr>
      </w:pPr>
      <w:r>
        <w:rPr>
          <w:rFonts w:ascii="Times New Roman" w:hAnsi="Times New Roman" w:cs="Times New Roman"/>
          <w:b/>
          <w:bCs/>
          <w:sz w:val="24"/>
          <w:szCs w:val="24"/>
        </w:rPr>
        <w:t>B</w:t>
      </w:r>
      <w:r w:rsidRPr="008A169D">
        <w:rPr>
          <w:rFonts w:ascii="Times New Roman" w:hAnsi="Times New Roman" w:cs="Times New Roman"/>
          <w:b/>
          <w:bCs/>
          <w:sz w:val="24"/>
          <w:szCs w:val="24"/>
        </w:rPr>
        <w:t xml:space="preserve">. </w:t>
      </w:r>
      <w:r>
        <w:rPr>
          <w:rFonts w:ascii="Times New Roman" w:hAnsi="Times New Roman" w:cs="Times New Roman"/>
          <w:b/>
          <w:bCs/>
          <w:sz w:val="24"/>
          <w:szCs w:val="24"/>
        </w:rPr>
        <w:t>Liekanų</w:t>
      </w:r>
      <w:r w:rsidRPr="008A169D">
        <w:rPr>
          <w:rFonts w:ascii="Times New Roman" w:hAnsi="Times New Roman" w:cs="Times New Roman"/>
          <w:b/>
          <w:bCs/>
          <w:sz w:val="24"/>
          <w:szCs w:val="24"/>
        </w:rPr>
        <w:t xml:space="preserve"> tyrimai</w:t>
      </w:r>
    </w:p>
    <w:p w14:paraId="36FE5877" w14:textId="25B5BA24" w:rsidR="00747363" w:rsidRDefault="006505B9" w:rsidP="003948F8">
      <w:pPr>
        <w:ind w:firstLine="567"/>
        <w:jc w:val="both"/>
        <w:rPr>
          <w:rFonts w:ascii="Times New Roman" w:hAnsi="Times New Roman" w:cs="Times New Roman"/>
          <w:sz w:val="24"/>
          <w:szCs w:val="24"/>
        </w:rPr>
      </w:pPr>
      <w:r>
        <w:rPr>
          <w:rFonts w:ascii="Times New Roman" w:hAnsi="Times New Roman" w:cs="Times New Roman"/>
          <w:sz w:val="24"/>
          <w:szCs w:val="24"/>
        </w:rPr>
        <w:t>Vaistas naudojamas produkcijos gyvūnams. Buvo pateikti liekanų tyrimai</w:t>
      </w:r>
      <w:r w:rsidR="0056122D">
        <w:rPr>
          <w:rFonts w:ascii="Times New Roman" w:hAnsi="Times New Roman" w:cs="Times New Roman"/>
          <w:sz w:val="24"/>
          <w:szCs w:val="24"/>
        </w:rPr>
        <w:t>.</w:t>
      </w:r>
      <w:r w:rsidR="00B8183C">
        <w:rPr>
          <w:rFonts w:ascii="Times New Roman" w:hAnsi="Times New Roman" w:cs="Times New Roman"/>
          <w:sz w:val="24"/>
          <w:szCs w:val="24"/>
        </w:rPr>
        <w:t xml:space="preserve"> </w:t>
      </w:r>
    </w:p>
    <w:p w14:paraId="54A2ADA5" w14:textId="35830614" w:rsidR="00374581" w:rsidRPr="00A370C4" w:rsidRDefault="004165C3" w:rsidP="00374581">
      <w:pPr>
        <w:jc w:val="both"/>
        <w:rPr>
          <w:rFonts w:ascii="Times New Roman" w:hAnsi="Times New Roman" w:cs="Times New Roman"/>
          <w:b/>
          <w:bCs/>
          <w:sz w:val="24"/>
          <w:szCs w:val="24"/>
        </w:rPr>
      </w:pPr>
      <w:r w:rsidRPr="00A370C4">
        <w:rPr>
          <w:rFonts w:ascii="Times New Roman" w:hAnsi="Times New Roman" w:cs="Times New Roman"/>
          <w:b/>
          <w:bCs/>
          <w:sz w:val="24"/>
          <w:szCs w:val="24"/>
        </w:rPr>
        <w:lastRenderedPageBreak/>
        <w:t>Išlauka</w:t>
      </w:r>
    </w:p>
    <w:p w14:paraId="2C4E43CF" w14:textId="4FB86218" w:rsidR="000003F1" w:rsidRPr="000003F1" w:rsidRDefault="00417505" w:rsidP="000003F1">
      <w:pPr>
        <w:spacing w:after="0"/>
        <w:ind w:firstLine="567"/>
        <w:jc w:val="both"/>
        <w:rPr>
          <w:rFonts w:ascii="Times New Roman" w:hAnsi="Times New Roman" w:cs="Times New Roman"/>
          <w:sz w:val="24"/>
          <w:szCs w:val="24"/>
        </w:rPr>
      </w:pPr>
      <w:r w:rsidRPr="000003F1">
        <w:rPr>
          <w:rFonts w:ascii="Times New Roman" w:hAnsi="Times New Roman" w:cs="Times New Roman"/>
          <w:sz w:val="24"/>
          <w:szCs w:val="24"/>
        </w:rPr>
        <w:t>Remiantis pateiktais tyrimais ir dokumentais</w:t>
      </w:r>
      <w:r w:rsidR="00A370C4" w:rsidRPr="000003F1">
        <w:rPr>
          <w:rFonts w:ascii="Times New Roman" w:hAnsi="Times New Roman" w:cs="Times New Roman"/>
          <w:sz w:val="24"/>
          <w:szCs w:val="24"/>
        </w:rPr>
        <w:t xml:space="preserve"> nustatyta </w:t>
      </w:r>
      <w:r w:rsidR="000003F1" w:rsidRPr="000003F1">
        <w:rPr>
          <w:rFonts w:ascii="Times New Roman" w:hAnsi="Times New Roman" w:cs="Times New Roman"/>
          <w:sz w:val="24"/>
          <w:szCs w:val="24"/>
        </w:rPr>
        <w:t xml:space="preserve">pagrįsta </w:t>
      </w:r>
      <w:r w:rsidR="0056122D" w:rsidRPr="000003F1">
        <w:rPr>
          <w:rFonts w:ascii="Times New Roman" w:hAnsi="Times New Roman" w:cs="Times New Roman"/>
          <w:sz w:val="24"/>
          <w:szCs w:val="24"/>
        </w:rPr>
        <w:t xml:space="preserve">išlauka: </w:t>
      </w:r>
    </w:p>
    <w:p w14:paraId="518C2C72" w14:textId="7C21C6D1" w:rsidR="000003F1" w:rsidRPr="000003F1" w:rsidRDefault="000003F1" w:rsidP="000003F1">
      <w:pPr>
        <w:spacing w:after="0" w:line="240" w:lineRule="auto"/>
        <w:rPr>
          <w:rFonts w:ascii="Times New Roman" w:hAnsi="Times New Roman" w:cs="Times New Roman"/>
          <w:sz w:val="24"/>
          <w:szCs w:val="24"/>
        </w:rPr>
      </w:pPr>
      <w:r>
        <w:rPr>
          <w:rFonts w:ascii="Times New Roman" w:hAnsi="Times New Roman" w:cs="Times New Roman"/>
          <w:sz w:val="24"/>
          <w:szCs w:val="24"/>
        </w:rPr>
        <w:t>s</w:t>
      </w:r>
      <w:r w:rsidRPr="000003F1">
        <w:rPr>
          <w:rFonts w:ascii="Times New Roman" w:hAnsi="Times New Roman" w:cs="Times New Roman"/>
          <w:sz w:val="24"/>
          <w:szCs w:val="24"/>
        </w:rPr>
        <w:t>kerdienai ir subproduktams – 7 paros</w:t>
      </w:r>
      <w:r w:rsidR="003542CB">
        <w:rPr>
          <w:rFonts w:ascii="Times New Roman" w:hAnsi="Times New Roman" w:cs="Times New Roman"/>
          <w:sz w:val="24"/>
          <w:szCs w:val="24"/>
        </w:rPr>
        <w:t>;</w:t>
      </w:r>
    </w:p>
    <w:p w14:paraId="0991FFDD" w14:textId="3C7C9DE0" w:rsidR="000003F1" w:rsidRPr="000003F1" w:rsidRDefault="003542CB" w:rsidP="000003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003F1">
        <w:rPr>
          <w:rFonts w:ascii="Times New Roman" w:hAnsi="Times New Roman" w:cs="Times New Roman"/>
          <w:sz w:val="24"/>
          <w:szCs w:val="24"/>
        </w:rPr>
        <w:t>p</w:t>
      </w:r>
      <w:r w:rsidR="000003F1" w:rsidRPr="000003F1">
        <w:rPr>
          <w:rFonts w:ascii="Times New Roman" w:hAnsi="Times New Roman" w:cs="Times New Roman"/>
          <w:sz w:val="24"/>
          <w:szCs w:val="24"/>
        </w:rPr>
        <w:t>ienui –  84 val.</w:t>
      </w:r>
    </w:p>
    <w:p w14:paraId="04957A21" w14:textId="4770048C" w:rsidR="004165C3" w:rsidRPr="00374581" w:rsidRDefault="004165C3" w:rsidP="003948F8">
      <w:pPr>
        <w:ind w:firstLine="567"/>
        <w:jc w:val="both"/>
        <w:rPr>
          <w:rFonts w:ascii="Times New Roman" w:hAnsi="Times New Roman" w:cs="Times New Roman"/>
          <w:sz w:val="24"/>
          <w:szCs w:val="24"/>
        </w:rPr>
      </w:pPr>
    </w:p>
    <w:p w14:paraId="0E3B1F7F" w14:textId="1C3450DB" w:rsidR="00B36512" w:rsidRDefault="00B36512" w:rsidP="00374581">
      <w:pPr>
        <w:jc w:val="both"/>
        <w:rPr>
          <w:rFonts w:ascii="Times New Roman" w:hAnsi="Times New Roman" w:cs="Times New Roman"/>
          <w:sz w:val="24"/>
          <w:szCs w:val="24"/>
        </w:rPr>
      </w:pPr>
    </w:p>
    <w:p w14:paraId="6DDE3234" w14:textId="6045BF74" w:rsidR="00506F3B" w:rsidRPr="003948F8" w:rsidRDefault="00C16D8F" w:rsidP="00AC107D">
      <w:pPr>
        <w:jc w:val="center"/>
        <w:rPr>
          <w:rFonts w:ascii="Times New Roman" w:hAnsi="Times New Roman" w:cs="Times New Roman"/>
          <w:b/>
          <w:bCs/>
          <w:sz w:val="28"/>
          <w:szCs w:val="28"/>
        </w:rPr>
      </w:pPr>
      <w:r w:rsidRPr="003948F8">
        <w:rPr>
          <w:rFonts w:ascii="Times New Roman" w:hAnsi="Times New Roman" w:cs="Times New Roman"/>
          <w:b/>
          <w:bCs/>
          <w:sz w:val="28"/>
          <w:szCs w:val="28"/>
        </w:rPr>
        <w:t xml:space="preserve">4. VEIKSMINGUMO DOKUMENTAI </w:t>
      </w:r>
      <w:r w:rsidR="00B305DE" w:rsidRPr="003948F8">
        <w:rPr>
          <w:rFonts w:ascii="Times New Roman" w:hAnsi="Times New Roman" w:cs="Times New Roman"/>
          <w:b/>
          <w:bCs/>
          <w:sz w:val="28"/>
          <w:szCs w:val="28"/>
        </w:rPr>
        <w:t>(</w:t>
      </w:r>
      <w:proofErr w:type="spellStart"/>
      <w:r w:rsidR="00B305DE" w:rsidRPr="003948F8">
        <w:rPr>
          <w:rFonts w:ascii="Times New Roman" w:hAnsi="Times New Roman" w:cs="Times New Roman"/>
          <w:b/>
          <w:bCs/>
          <w:sz w:val="28"/>
          <w:szCs w:val="28"/>
        </w:rPr>
        <w:t>Ikiklinikiniai</w:t>
      </w:r>
      <w:proofErr w:type="spellEnd"/>
      <w:r w:rsidR="00B305DE" w:rsidRPr="003948F8">
        <w:rPr>
          <w:rFonts w:ascii="Times New Roman" w:hAnsi="Times New Roman" w:cs="Times New Roman"/>
          <w:b/>
          <w:bCs/>
          <w:sz w:val="28"/>
          <w:szCs w:val="28"/>
        </w:rPr>
        <w:t xml:space="preserve"> ir klinikiniai tyrimai)</w:t>
      </w:r>
    </w:p>
    <w:p w14:paraId="15D2297E" w14:textId="47FD9379" w:rsidR="00B9776D" w:rsidRPr="00B9776D" w:rsidRDefault="00B9776D" w:rsidP="003948F8">
      <w:pPr>
        <w:ind w:firstLine="567"/>
        <w:jc w:val="both"/>
        <w:rPr>
          <w:rFonts w:ascii="Times New Roman" w:hAnsi="Times New Roman" w:cs="Times New Roman"/>
          <w:sz w:val="24"/>
          <w:szCs w:val="24"/>
        </w:rPr>
      </w:pPr>
      <w:r>
        <w:rPr>
          <w:rFonts w:ascii="Times New Roman" w:hAnsi="Times New Roman" w:cs="Times New Roman"/>
          <w:sz w:val="24"/>
          <w:szCs w:val="24"/>
        </w:rPr>
        <w:t xml:space="preserve">Paraiška veterinariniam vaistui registruoti pateikta pagal Reglamento (ES) 2019/6 </w:t>
      </w:r>
      <w:r w:rsidR="00AC6118">
        <w:rPr>
          <w:rFonts w:ascii="Times New Roman" w:hAnsi="Times New Roman" w:cs="Times New Roman"/>
          <w:sz w:val="24"/>
          <w:szCs w:val="24"/>
        </w:rPr>
        <w:t>22</w:t>
      </w:r>
      <w:r w:rsidR="00AC6118" w:rsidRPr="00F1053D">
        <w:rPr>
          <w:rFonts w:ascii="Times New Roman" w:hAnsi="Times New Roman" w:cs="Times New Roman"/>
          <w:sz w:val="24"/>
          <w:szCs w:val="24"/>
        </w:rPr>
        <w:t xml:space="preserve"> str.</w:t>
      </w:r>
      <w:r w:rsidR="00AC6118">
        <w:rPr>
          <w:rFonts w:ascii="Times New Roman" w:hAnsi="Times New Roman" w:cs="Times New Roman"/>
          <w:sz w:val="24"/>
          <w:szCs w:val="24"/>
        </w:rPr>
        <w:t xml:space="preserve"> </w:t>
      </w:r>
      <w:r w:rsidR="00AC6118" w:rsidRPr="00AC6118">
        <w:rPr>
          <w:rFonts w:ascii="Times New Roman" w:hAnsi="Times New Roman" w:cs="Times New Roman"/>
          <w:sz w:val="24"/>
          <w:szCs w:val="24"/>
        </w:rPr>
        <w:t>Bibliografiniais duomenimis grindžiama paraiška</w:t>
      </w:r>
      <w:r>
        <w:rPr>
          <w:rFonts w:ascii="Times New Roman" w:hAnsi="Times New Roman" w:cs="Times New Roman"/>
          <w:sz w:val="24"/>
          <w:szCs w:val="24"/>
        </w:rPr>
        <w:t xml:space="preserve">, todėl sąrankoje dėl </w:t>
      </w:r>
      <w:proofErr w:type="spellStart"/>
      <w:r w:rsidR="00630F6F">
        <w:rPr>
          <w:rFonts w:ascii="Times New Roman" w:hAnsi="Times New Roman" w:cs="Times New Roman"/>
          <w:sz w:val="24"/>
          <w:szCs w:val="24"/>
        </w:rPr>
        <w:t>ikiklinikinių</w:t>
      </w:r>
      <w:proofErr w:type="spellEnd"/>
      <w:r w:rsidR="00630F6F">
        <w:rPr>
          <w:rFonts w:ascii="Times New Roman" w:hAnsi="Times New Roman" w:cs="Times New Roman"/>
          <w:sz w:val="24"/>
          <w:szCs w:val="24"/>
        </w:rPr>
        <w:t xml:space="preserve"> ir klinikinių</w:t>
      </w:r>
      <w:r>
        <w:rPr>
          <w:rFonts w:ascii="Times New Roman" w:hAnsi="Times New Roman" w:cs="Times New Roman"/>
          <w:sz w:val="24"/>
          <w:szCs w:val="24"/>
        </w:rPr>
        <w:t xml:space="preserve"> duomenų remiamasi referencinio vaisto duomenimis ir iš dalies naujais tyrimų duomenimis.</w:t>
      </w:r>
    </w:p>
    <w:p w14:paraId="1F56A9CA" w14:textId="607DE021" w:rsidR="008F7634" w:rsidRDefault="00DA57AA" w:rsidP="008F7634">
      <w:pPr>
        <w:rPr>
          <w:rFonts w:ascii="Times New Roman" w:hAnsi="Times New Roman" w:cs="Times New Roman"/>
          <w:b/>
          <w:bCs/>
          <w:sz w:val="24"/>
          <w:szCs w:val="24"/>
        </w:rPr>
      </w:pPr>
      <w:r>
        <w:rPr>
          <w:rFonts w:ascii="Times New Roman" w:hAnsi="Times New Roman" w:cs="Times New Roman"/>
          <w:b/>
          <w:bCs/>
          <w:sz w:val="24"/>
          <w:szCs w:val="24"/>
        </w:rPr>
        <w:t xml:space="preserve">A. </w:t>
      </w:r>
      <w:proofErr w:type="spellStart"/>
      <w:r w:rsidR="00142C4B" w:rsidRPr="00003B11">
        <w:rPr>
          <w:rFonts w:ascii="Times New Roman" w:hAnsi="Times New Roman" w:cs="Times New Roman"/>
          <w:b/>
          <w:bCs/>
          <w:sz w:val="24"/>
          <w:szCs w:val="24"/>
        </w:rPr>
        <w:t>Ikiklin</w:t>
      </w:r>
      <w:r w:rsidR="00E732EA" w:rsidRPr="00003B11">
        <w:rPr>
          <w:rFonts w:ascii="Times New Roman" w:hAnsi="Times New Roman" w:cs="Times New Roman"/>
          <w:b/>
          <w:bCs/>
          <w:sz w:val="24"/>
          <w:szCs w:val="24"/>
        </w:rPr>
        <w:t>ikinės</w:t>
      </w:r>
      <w:proofErr w:type="spellEnd"/>
      <w:r w:rsidR="00E732EA" w:rsidRPr="00003B11">
        <w:rPr>
          <w:rFonts w:ascii="Times New Roman" w:hAnsi="Times New Roman" w:cs="Times New Roman"/>
          <w:b/>
          <w:bCs/>
          <w:sz w:val="24"/>
          <w:szCs w:val="24"/>
        </w:rPr>
        <w:t xml:space="preserve"> studijos</w:t>
      </w:r>
    </w:p>
    <w:p w14:paraId="2E2399D6" w14:textId="574D2311" w:rsidR="00EF2975" w:rsidRPr="00310D24" w:rsidRDefault="003542CB" w:rsidP="00D1712C">
      <w:pPr>
        <w:rPr>
          <w:rFonts w:ascii="Times New Roman" w:hAnsi="Times New Roman" w:cs="Times New Roman"/>
          <w:sz w:val="24"/>
          <w:szCs w:val="24"/>
        </w:rPr>
      </w:pPr>
      <w:r w:rsidRPr="003542CB">
        <w:rPr>
          <w:rFonts w:ascii="Times New Roman" w:hAnsi="Times New Roman" w:cs="Times New Roman"/>
          <w:bCs/>
          <w:sz w:val="24"/>
          <w:szCs w:val="24"/>
        </w:rPr>
        <w:t>Į</w:t>
      </w:r>
      <w:r w:rsidR="00D1712C" w:rsidRPr="003542CB">
        <w:rPr>
          <w:rFonts w:ascii="Times New Roman" w:hAnsi="Times New Roman" w:cs="Times New Roman"/>
          <w:bCs/>
          <w:sz w:val="24"/>
          <w:szCs w:val="24"/>
        </w:rPr>
        <w:t>rod</w:t>
      </w:r>
      <w:r>
        <w:rPr>
          <w:rFonts w:ascii="Times New Roman" w:hAnsi="Times New Roman" w:cs="Times New Roman"/>
          <w:bCs/>
          <w:sz w:val="24"/>
          <w:szCs w:val="24"/>
        </w:rPr>
        <w:t>žius</w:t>
      </w:r>
      <w:r w:rsidR="00D1712C" w:rsidRPr="003542CB">
        <w:rPr>
          <w:rFonts w:ascii="Times New Roman" w:hAnsi="Times New Roman" w:cs="Times New Roman"/>
          <w:bCs/>
          <w:sz w:val="24"/>
          <w:szCs w:val="24"/>
        </w:rPr>
        <w:t xml:space="preserve">, kad </w:t>
      </w:r>
      <w:proofErr w:type="spellStart"/>
      <w:r w:rsidR="00D1712C" w:rsidRPr="003542CB">
        <w:rPr>
          <w:rFonts w:ascii="Times New Roman" w:hAnsi="Times New Roman" w:cs="Times New Roman"/>
          <w:bCs/>
          <w:sz w:val="24"/>
          <w:szCs w:val="24"/>
        </w:rPr>
        <w:t>albendazolas</w:t>
      </w:r>
      <w:proofErr w:type="spellEnd"/>
      <w:r w:rsidR="00D1712C" w:rsidRPr="003542CB">
        <w:rPr>
          <w:rFonts w:ascii="Times New Roman" w:hAnsi="Times New Roman" w:cs="Times New Roman"/>
          <w:bCs/>
          <w:sz w:val="24"/>
          <w:szCs w:val="24"/>
        </w:rPr>
        <w:t xml:space="preserve"> bent 10 metų pripažintas ir naudojamos Europos Sąjungoje veterinarijos srityje, kad jo veiksmingumas pagrįstas dokumentais ir kad jį naudojant užtikrinamas priimtinas saugumo lygis. Pareiškėjo pateikti </w:t>
      </w:r>
      <w:r w:rsidR="00D1712C" w:rsidRPr="003542CB">
        <w:rPr>
          <w:rFonts w:ascii="Times New Roman" w:hAnsi="Times New Roman" w:cs="Times New Roman"/>
          <w:sz w:val="24"/>
          <w:szCs w:val="24"/>
        </w:rPr>
        <w:t xml:space="preserve">ALBENOL-100, 100 mg/ml, geriamosios suspensijos </w:t>
      </w:r>
      <w:proofErr w:type="spellStart"/>
      <w:r w:rsidR="00D1712C" w:rsidRPr="003542CB">
        <w:rPr>
          <w:rFonts w:ascii="Times New Roman" w:hAnsi="Times New Roman" w:cs="Times New Roman"/>
          <w:sz w:val="24"/>
          <w:szCs w:val="24"/>
        </w:rPr>
        <w:t>ikiklinikinių</w:t>
      </w:r>
      <w:proofErr w:type="spellEnd"/>
      <w:r w:rsidR="00D1712C" w:rsidRPr="003542CB">
        <w:rPr>
          <w:rFonts w:ascii="Times New Roman" w:hAnsi="Times New Roman" w:cs="Times New Roman"/>
          <w:sz w:val="24"/>
          <w:szCs w:val="24"/>
        </w:rPr>
        <w:t xml:space="preserve"> tyrimų </w:t>
      </w:r>
      <w:r w:rsidR="00D1712C" w:rsidRPr="003542CB">
        <w:rPr>
          <w:rFonts w:ascii="Times New Roman" w:hAnsi="Times New Roman" w:cs="Times New Roman"/>
          <w:bCs/>
          <w:sz w:val="24"/>
          <w:szCs w:val="24"/>
        </w:rPr>
        <w:t>dokumentai buvo pagrįsti literatūros duomenimis.</w:t>
      </w:r>
    </w:p>
    <w:p w14:paraId="140177B1" w14:textId="083E5C56" w:rsidR="00E732EA" w:rsidRPr="00003B11" w:rsidRDefault="00E732EA" w:rsidP="008F7634">
      <w:pPr>
        <w:rPr>
          <w:rFonts w:ascii="Times New Roman" w:hAnsi="Times New Roman" w:cs="Times New Roman"/>
          <w:b/>
          <w:bCs/>
          <w:sz w:val="24"/>
          <w:szCs w:val="24"/>
        </w:rPr>
      </w:pPr>
      <w:r w:rsidRPr="00003B11">
        <w:rPr>
          <w:rFonts w:ascii="Times New Roman" w:hAnsi="Times New Roman" w:cs="Times New Roman"/>
          <w:b/>
          <w:bCs/>
          <w:sz w:val="24"/>
          <w:szCs w:val="24"/>
        </w:rPr>
        <w:t>Paskirties rūšių toleravimo tyrimai</w:t>
      </w:r>
    </w:p>
    <w:p w14:paraId="100810A4" w14:textId="21379677" w:rsidR="000003F1" w:rsidRPr="000003F1" w:rsidRDefault="00796756" w:rsidP="00796756">
      <w:pPr>
        <w:spacing w:after="0" w:line="240" w:lineRule="auto"/>
        <w:jc w:val="both"/>
        <w:rPr>
          <w:rFonts w:ascii="Times New Roman" w:hAnsi="Times New Roman" w:cs="Times New Roman"/>
          <w:sz w:val="24"/>
          <w:szCs w:val="24"/>
        </w:rPr>
      </w:pPr>
      <w:r w:rsidRPr="00796756">
        <w:rPr>
          <w:rFonts w:ascii="Times New Roman" w:hAnsi="Times New Roman" w:cs="Times New Roman"/>
          <w:sz w:val="24"/>
          <w:szCs w:val="24"/>
        </w:rPr>
        <w:t>Negalima naudoti pirmojo vaikingumo trimestro metu.</w:t>
      </w:r>
      <w:r>
        <w:t xml:space="preserve"> </w:t>
      </w:r>
      <w:r w:rsidR="000003F1" w:rsidRPr="000003F1">
        <w:rPr>
          <w:rFonts w:ascii="Times New Roman" w:hAnsi="Times New Roman" w:cs="Times New Roman"/>
          <w:sz w:val="24"/>
          <w:szCs w:val="24"/>
        </w:rPr>
        <w:t>Dviejų paskutiniųjų vaikingumo trimestrų ir laktacijos laikotarpiais naudoti tik atsakingam veterinarijos gydytojui įvertinus naudą ir riziką.</w:t>
      </w:r>
    </w:p>
    <w:p w14:paraId="0F4A83B4" w14:textId="6EAA22DB" w:rsidR="0040296F" w:rsidRDefault="00FC4FD5" w:rsidP="003948F8">
      <w:pPr>
        <w:ind w:firstLine="567"/>
        <w:rPr>
          <w:rFonts w:ascii="Times New Roman" w:hAnsi="Times New Roman" w:cs="Times New Roman"/>
          <w:sz w:val="24"/>
          <w:szCs w:val="24"/>
        </w:rPr>
      </w:pPr>
      <w:r w:rsidRPr="00FC4FD5">
        <w:rPr>
          <w:rFonts w:ascii="Times New Roman" w:hAnsi="Times New Roman" w:cs="Times New Roman"/>
          <w:sz w:val="24"/>
          <w:szCs w:val="24"/>
        </w:rPr>
        <w:t>.</w:t>
      </w:r>
    </w:p>
    <w:p w14:paraId="5ABDD66E" w14:textId="4541FCC0" w:rsidR="00AF02FA" w:rsidRPr="008F3C1C" w:rsidRDefault="00645498" w:rsidP="00122AC1">
      <w:pPr>
        <w:rPr>
          <w:rFonts w:ascii="Times New Roman" w:hAnsi="Times New Roman" w:cs="Times New Roman"/>
          <w:b/>
          <w:bCs/>
          <w:sz w:val="24"/>
          <w:szCs w:val="24"/>
        </w:rPr>
      </w:pPr>
      <w:r w:rsidRPr="008F3C1C">
        <w:rPr>
          <w:rFonts w:ascii="Times New Roman" w:hAnsi="Times New Roman" w:cs="Times New Roman"/>
          <w:b/>
          <w:bCs/>
          <w:sz w:val="24"/>
          <w:szCs w:val="24"/>
        </w:rPr>
        <w:t>Rezistentiškumo tyrimai</w:t>
      </w:r>
    </w:p>
    <w:p w14:paraId="571A8240" w14:textId="77777777" w:rsidR="00AB758D" w:rsidRPr="00AB758D" w:rsidRDefault="00AB758D" w:rsidP="00AB758D">
      <w:pPr>
        <w:spacing w:line="240" w:lineRule="auto"/>
        <w:jc w:val="both"/>
        <w:rPr>
          <w:rFonts w:ascii="Times New Roman" w:hAnsi="Times New Roman" w:cs="Times New Roman"/>
          <w:sz w:val="24"/>
          <w:szCs w:val="24"/>
        </w:rPr>
      </w:pPr>
      <w:r w:rsidRPr="00AB758D">
        <w:rPr>
          <w:rFonts w:ascii="Times New Roman" w:hAnsi="Times New Roman" w:cs="Times New Roman"/>
          <w:sz w:val="24"/>
          <w:szCs w:val="24"/>
        </w:rPr>
        <w:t>Gydymas per maža doze gali būti neveiksmingas ir paskatinti atsparumo vystymąsi.</w:t>
      </w:r>
    </w:p>
    <w:p w14:paraId="2F03B44E" w14:textId="77777777" w:rsidR="00AB758D" w:rsidRPr="00AB758D" w:rsidRDefault="00AB758D" w:rsidP="00AB758D">
      <w:pPr>
        <w:spacing w:line="240" w:lineRule="auto"/>
        <w:jc w:val="both"/>
        <w:rPr>
          <w:rFonts w:ascii="Times New Roman" w:hAnsi="Times New Roman" w:cs="Times New Roman"/>
          <w:sz w:val="24"/>
          <w:szCs w:val="24"/>
        </w:rPr>
      </w:pPr>
      <w:r w:rsidRPr="00AB758D">
        <w:rPr>
          <w:rFonts w:ascii="Times New Roman" w:hAnsi="Times New Roman" w:cs="Times New Roman"/>
          <w:sz w:val="24"/>
          <w:szCs w:val="24"/>
        </w:rPr>
        <w:t>Siekiant užtikrinti tinkamą vaisto dozę, reikia kuo tiksliau nustatyti gyvulio kūno svorį. Jei gyvuliai turi būti gydomi kolektyviai, reikia sudaryti pakankamai vienodas grupes ir visiems grupės gyvūnams skirti sunkiausio gyvulio svorį atitinkančią dozę.</w:t>
      </w:r>
    </w:p>
    <w:p w14:paraId="37C2C4EA" w14:textId="26346619" w:rsidR="00E65B81" w:rsidRDefault="00E65B81" w:rsidP="00E65B81">
      <w:pPr>
        <w:rPr>
          <w:rFonts w:ascii="Times New Roman" w:hAnsi="Times New Roman" w:cs="Times New Roman"/>
          <w:b/>
          <w:bCs/>
          <w:sz w:val="24"/>
          <w:szCs w:val="24"/>
        </w:rPr>
      </w:pPr>
      <w:r>
        <w:rPr>
          <w:rFonts w:ascii="Times New Roman" w:hAnsi="Times New Roman" w:cs="Times New Roman"/>
          <w:b/>
          <w:bCs/>
          <w:sz w:val="24"/>
          <w:szCs w:val="24"/>
        </w:rPr>
        <w:t>B. K</w:t>
      </w:r>
      <w:r w:rsidRPr="00003B11">
        <w:rPr>
          <w:rFonts w:ascii="Times New Roman" w:hAnsi="Times New Roman" w:cs="Times New Roman"/>
          <w:b/>
          <w:bCs/>
          <w:sz w:val="24"/>
          <w:szCs w:val="24"/>
        </w:rPr>
        <w:t>linikinės studijos</w:t>
      </w:r>
    </w:p>
    <w:p w14:paraId="17445A05" w14:textId="3EF9A3DD" w:rsidR="00D1712C" w:rsidRDefault="00D1712C" w:rsidP="009B7EAD">
      <w:pPr>
        <w:ind w:firstLine="567"/>
        <w:jc w:val="both"/>
        <w:rPr>
          <w:rFonts w:ascii="Times New Roman" w:hAnsi="Times New Roman" w:cs="Times New Roman"/>
          <w:sz w:val="24"/>
          <w:szCs w:val="24"/>
        </w:rPr>
      </w:pPr>
      <w:r w:rsidRPr="003542CB">
        <w:rPr>
          <w:rFonts w:ascii="Times New Roman" w:hAnsi="Times New Roman" w:cs="Times New Roman"/>
          <w:bCs/>
          <w:sz w:val="24"/>
          <w:szCs w:val="24"/>
        </w:rPr>
        <w:t xml:space="preserve">Įrodžius, kad </w:t>
      </w:r>
      <w:proofErr w:type="spellStart"/>
      <w:r w:rsidRPr="003542CB">
        <w:rPr>
          <w:rFonts w:ascii="Times New Roman" w:hAnsi="Times New Roman" w:cs="Times New Roman"/>
          <w:bCs/>
          <w:sz w:val="24"/>
          <w:szCs w:val="24"/>
        </w:rPr>
        <w:t>albendazolas</w:t>
      </w:r>
      <w:proofErr w:type="spellEnd"/>
      <w:r w:rsidRPr="003542CB">
        <w:rPr>
          <w:rFonts w:ascii="Times New Roman" w:hAnsi="Times New Roman" w:cs="Times New Roman"/>
          <w:bCs/>
          <w:sz w:val="24"/>
          <w:szCs w:val="24"/>
        </w:rPr>
        <w:t xml:space="preserve"> bent 10 metų pripažintas ir naudojamos Europos Sąjungoje veterinarijos srityje, kad jo veiksmingumas pagrįstas dokumentais ir kad jį naudojant užtikrinamas priimtinas saugumo lygis. Pareiškėjo pateikti </w:t>
      </w:r>
      <w:r w:rsidRPr="003542CB">
        <w:rPr>
          <w:rFonts w:ascii="Times New Roman" w:hAnsi="Times New Roman" w:cs="Times New Roman"/>
          <w:sz w:val="24"/>
          <w:szCs w:val="24"/>
        </w:rPr>
        <w:t xml:space="preserve">ALBENOL-100, 100 mg/ml, geriamosios suspensijos </w:t>
      </w:r>
      <w:proofErr w:type="spellStart"/>
      <w:r w:rsidRPr="003542CB">
        <w:rPr>
          <w:rFonts w:ascii="Times New Roman" w:hAnsi="Times New Roman" w:cs="Times New Roman"/>
          <w:sz w:val="24"/>
          <w:szCs w:val="24"/>
        </w:rPr>
        <w:t>ikiklinikinių</w:t>
      </w:r>
      <w:proofErr w:type="spellEnd"/>
      <w:r w:rsidRPr="003542CB">
        <w:rPr>
          <w:rFonts w:ascii="Times New Roman" w:hAnsi="Times New Roman" w:cs="Times New Roman"/>
          <w:sz w:val="24"/>
          <w:szCs w:val="24"/>
        </w:rPr>
        <w:t xml:space="preserve"> tyrimų </w:t>
      </w:r>
      <w:r w:rsidRPr="003542CB">
        <w:rPr>
          <w:rFonts w:ascii="Times New Roman" w:hAnsi="Times New Roman" w:cs="Times New Roman"/>
          <w:bCs/>
          <w:sz w:val="24"/>
          <w:szCs w:val="24"/>
        </w:rPr>
        <w:t>dokumentai buvo pagrįsti literatūros duomenimis.</w:t>
      </w:r>
    </w:p>
    <w:p w14:paraId="0CD08D20" w14:textId="64251082" w:rsidR="00E65B81" w:rsidRDefault="00796756" w:rsidP="00AB758D">
      <w:pPr>
        <w:spacing w:line="240" w:lineRule="auto"/>
        <w:jc w:val="both"/>
        <w:rPr>
          <w:rFonts w:ascii="Times New Roman" w:hAnsi="Times New Roman" w:cs="Times New Roman"/>
          <w:sz w:val="24"/>
          <w:szCs w:val="24"/>
        </w:rPr>
      </w:pPr>
      <w:r w:rsidRPr="00AB758D">
        <w:rPr>
          <w:rFonts w:ascii="Times New Roman" w:hAnsi="Times New Roman" w:cs="Times New Roman"/>
          <w:sz w:val="24"/>
          <w:szCs w:val="24"/>
        </w:rPr>
        <w:t>Pateikti veterinarinio vaisto klinikiniai naudojimo duomenys: Galvija</w:t>
      </w:r>
      <w:r w:rsidR="00AB758D" w:rsidRPr="00AB758D">
        <w:rPr>
          <w:rFonts w:ascii="Times New Roman" w:hAnsi="Times New Roman" w:cs="Times New Roman"/>
          <w:sz w:val="24"/>
          <w:szCs w:val="24"/>
        </w:rPr>
        <w:t>i</w:t>
      </w:r>
      <w:r w:rsidRPr="00AB758D">
        <w:rPr>
          <w:rFonts w:ascii="Times New Roman" w:hAnsi="Times New Roman" w:cs="Times New Roman"/>
          <w:sz w:val="24"/>
          <w:szCs w:val="24"/>
        </w:rPr>
        <w:t>, apvaliosioms kirmėlėms, plaučių kirmėlėms, kaspinuočiams, siurbikėms bei apvaliųjų kirmėlių kiaušinėliams kontroliuoti</w:t>
      </w:r>
      <w:r w:rsidR="00AB758D" w:rsidRPr="00AB758D">
        <w:rPr>
          <w:rFonts w:ascii="Times New Roman" w:hAnsi="Times New Roman" w:cs="Times New Roman"/>
          <w:sz w:val="24"/>
          <w:szCs w:val="24"/>
        </w:rPr>
        <w:t xml:space="preserve"> nustatyta dozė</w:t>
      </w:r>
      <w:r w:rsidRPr="00AB758D">
        <w:rPr>
          <w:rFonts w:ascii="Times New Roman" w:hAnsi="Times New Roman" w:cs="Times New Roman"/>
          <w:sz w:val="24"/>
          <w:szCs w:val="24"/>
        </w:rPr>
        <w:t xml:space="preserve"> 7,5 mg </w:t>
      </w:r>
      <w:proofErr w:type="spellStart"/>
      <w:r w:rsidRPr="00AB758D">
        <w:rPr>
          <w:rFonts w:ascii="Times New Roman" w:hAnsi="Times New Roman" w:cs="Times New Roman"/>
          <w:sz w:val="24"/>
          <w:szCs w:val="24"/>
        </w:rPr>
        <w:t>albendazolo</w:t>
      </w:r>
      <w:proofErr w:type="spellEnd"/>
      <w:r w:rsidRPr="00AB758D">
        <w:rPr>
          <w:rFonts w:ascii="Times New Roman" w:hAnsi="Times New Roman" w:cs="Times New Roman"/>
          <w:sz w:val="24"/>
          <w:szCs w:val="24"/>
        </w:rPr>
        <w:t xml:space="preserve"> 1 kg kūno svorio.</w:t>
      </w:r>
      <w:r w:rsidR="00AB758D" w:rsidRPr="00AB758D">
        <w:rPr>
          <w:rFonts w:ascii="Times New Roman" w:hAnsi="Times New Roman" w:cs="Times New Roman"/>
          <w:sz w:val="24"/>
          <w:szCs w:val="24"/>
        </w:rPr>
        <w:t xml:space="preserve"> </w:t>
      </w:r>
      <w:r w:rsidRPr="00AB758D">
        <w:rPr>
          <w:rFonts w:ascii="Times New Roman" w:hAnsi="Times New Roman" w:cs="Times New Roman"/>
          <w:sz w:val="24"/>
          <w:szCs w:val="24"/>
        </w:rPr>
        <w:t xml:space="preserve">Gydant galvijus nuo suaugusių galvijų kepeninių siurbikių (lėtinės </w:t>
      </w:r>
      <w:proofErr w:type="spellStart"/>
      <w:r w:rsidRPr="00AB758D">
        <w:rPr>
          <w:rFonts w:ascii="Times New Roman" w:hAnsi="Times New Roman" w:cs="Times New Roman"/>
          <w:sz w:val="24"/>
          <w:szCs w:val="24"/>
        </w:rPr>
        <w:t>fascioliozės</w:t>
      </w:r>
      <w:proofErr w:type="spellEnd"/>
      <w:r w:rsidRPr="00AB758D">
        <w:rPr>
          <w:rFonts w:ascii="Times New Roman" w:hAnsi="Times New Roman" w:cs="Times New Roman"/>
          <w:sz w:val="24"/>
          <w:szCs w:val="24"/>
        </w:rPr>
        <w:t xml:space="preserve">), dozė – 10 mg </w:t>
      </w:r>
      <w:proofErr w:type="spellStart"/>
      <w:r w:rsidRPr="00AB758D">
        <w:rPr>
          <w:rFonts w:ascii="Times New Roman" w:hAnsi="Times New Roman" w:cs="Times New Roman"/>
          <w:sz w:val="24"/>
          <w:szCs w:val="24"/>
        </w:rPr>
        <w:t>albendazolo</w:t>
      </w:r>
      <w:proofErr w:type="spellEnd"/>
      <w:r w:rsidRPr="00AB758D">
        <w:rPr>
          <w:rFonts w:ascii="Times New Roman" w:hAnsi="Times New Roman" w:cs="Times New Roman"/>
          <w:sz w:val="24"/>
          <w:szCs w:val="24"/>
        </w:rPr>
        <w:t xml:space="preserve"> 1 kg kūno svorio.</w:t>
      </w:r>
      <w:r w:rsidR="00AB758D" w:rsidRPr="00AB758D">
        <w:rPr>
          <w:rFonts w:ascii="Times New Roman" w:hAnsi="Times New Roman" w:cs="Times New Roman"/>
          <w:sz w:val="24"/>
          <w:szCs w:val="24"/>
        </w:rPr>
        <w:t xml:space="preserve"> Avys, apvaliosioms kirmėlėms, plaučių kirmėlėms, kaspinuočiams, siurbikėms ir apvaliųjų kirmėlių kiaušinėliams kontroliuoti dozė: 5 mg </w:t>
      </w:r>
      <w:proofErr w:type="spellStart"/>
      <w:r w:rsidR="00AB758D" w:rsidRPr="00AB758D">
        <w:rPr>
          <w:rFonts w:ascii="Times New Roman" w:hAnsi="Times New Roman" w:cs="Times New Roman"/>
          <w:sz w:val="24"/>
          <w:szCs w:val="24"/>
        </w:rPr>
        <w:t>albendazolo</w:t>
      </w:r>
      <w:proofErr w:type="spellEnd"/>
      <w:r w:rsidR="00AB758D" w:rsidRPr="00AB758D">
        <w:rPr>
          <w:rFonts w:ascii="Times New Roman" w:hAnsi="Times New Roman" w:cs="Times New Roman"/>
          <w:sz w:val="24"/>
          <w:szCs w:val="24"/>
        </w:rPr>
        <w:t xml:space="preserve"> 1 kg kūno svorio. Gydant avis nuo suaugusių avių kepeninių siurbikių (lėtinės </w:t>
      </w:r>
      <w:proofErr w:type="spellStart"/>
      <w:r w:rsidR="00AB758D" w:rsidRPr="00AB758D">
        <w:rPr>
          <w:rFonts w:ascii="Times New Roman" w:hAnsi="Times New Roman" w:cs="Times New Roman"/>
          <w:sz w:val="24"/>
          <w:szCs w:val="24"/>
        </w:rPr>
        <w:t>fascioliozės</w:t>
      </w:r>
      <w:proofErr w:type="spellEnd"/>
      <w:r w:rsidR="00AB758D" w:rsidRPr="00AB758D">
        <w:rPr>
          <w:rFonts w:ascii="Times New Roman" w:hAnsi="Times New Roman" w:cs="Times New Roman"/>
          <w:sz w:val="24"/>
          <w:szCs w:val="24"/>
        </w:rPr>
        <w:t xml:space="preserve">), dozė – 7,5 mg </w:t>
      </w:r>
      <w:proofErr w:type="spellStart"/>
      <w:r w:rsidR="00AB758D" w:rsidRPr="00AB758D">
        <w:rPr>
          <w:rFonts w:ascii="Times New Roman" w:hAnsi="Times New Roman" w:cs="Times New Roman"/>
          <w:sz w:val="24"/>
          <w:szCs w:val="24"/>
        </w:rPr>
        <w:t>albendazolo</w:t>
      </w:r>
      <w:proofErr w:type="spellEnd"/>
      <w:r w:rsidR="00AB758D" w:rsidRPr="00AB758D">
        <w:rPr>
          <w:rFonts w:ascii="Times New Roman" w:hAnsi="Times New Roman" w:cs="Times New Roman"/>
          <w:sz w:val="24"/>
          <w:szCs w:val="24"/>
        </w:rPr>
        <w:t xml:space="preserve"> 1 kg kūno svorio. Gydant ožkas nuo suaugusiųjų kepeninių siurbikių, dozė – 10 mg </w:t>
      </w:r>
      <w:proofErr w:type="spellStart"/>
      <w:r w:rsidR="00AB758D" w:rsidRPr="00AB758D">
        <w:rPr>
          <w:rFonts w:ascii="Times New Roman" w:hAnsi="Times New Roman" w:cs="Times New Roman"/>
          <w:sz w:val="24"/>
          <w:szCs w:val="24"/>
        </w:rPr>
        <w:t>albendazolo</w:t>
      </w:r>
      <w:proofErr w:type="spellEnd"/>
      <w:r w:rsidR="00AB758D" w:rsidRPr="00AB758D">
        <w:rPr>
          <w:rFonts w:ascii="Times New Roman" w:hAnsi="Times New Roman" w:cs="Times New Roman"/>
          <w:sz w:val="24"/>
          <w:szCs w:val="24"/>
        </w:rPr>
        <w:t xml:space="preserve"> 1 kg kūno svorio.</w:t>
      </w:r>
      <w:r w:rsidR="00AB758D">
        <w:rPr>
          <w:rFonts w:ascii="Times New Roman" w:hAnsi="Times New Roman" w:cs="Times New Roman"/>
          <w:sz w:val="24"/>
          <w:szCs w:val="24"/>
        </w:rPr>
        <w:t xml:space="preserve"> </w:t>
      </w:r>
      <w:r>
        <w:rPr>
          <w:rFonts w:ascii="Times New Roman" w:hAnsi="Times New Roman" w:cs="Times New Roman"/>
          <w:sz w:val="24"/>
          <w:szCs w:val="24"/>
        </w:rPr>
        <w:t xml:space="preserve"> </w:t>
      </w:r>
      <w:r w:rsidR="004022C9" w:rsidRPr="004022C9">
        <w:rPr>
          <w:rFonts w:ascii="Times New Roman" w:hAnsi="Times New Roman" w:cs="Times New Roman"/>
          <w:sz w:val="24"/>
          <w:szCs w:val="24"/>
        </w:rPr>
        <w:t>Remiantis pateiktais duomenimis, pripažinta, kad šio vaisto indikacij</w:t>
      </w:r>
      <w:r w:rsidR="00D6277D">
        <w:rPr>
          <w:rFonts w:ascii="Times New Roman" w:hAnsi="Times New Roman" w:cs="Times New Roman"/>
          <w:sz w:val="24"/>
          <w:szCs w:val="24"/>
        </w:rPr>
        <w:t>os</w:t>
      </w:r>
      <w:r w:rsidR="004022C9" w:rsidRPr="004022C9">
        <w:rPr>
          <w:rFonts w:ascii="Times New Roman" w:hAnsi="Times New Roman" w:cs="Times New Roman"/>
          <w:sz w:val="24"/>
          <w:szCs w:val="24"/>
        </w:rPr>
        <w:t xml:space="preserve"> </w:t>
      </w:r>
      <w:r w:rsidR="00D6277D">
        <w:rPr>
          <w:rFonts w:ascii="Times New Roman" w:hAnsi="Times New Roman" w:cs="Times New Roman"/>
          <w:sz w:val="24"/>
          <w:szCs w:val="24"/>
        </w:rPr>
        <w:t>yra</w:t>
      </w:r>
      <w:r w:rsidR="004022C9" w:rsidRPr="004022C9">
        <w:rPr>
          <w:rFonts w:ascii="Times New Roman" w:hAnsi="Times New Roman" w:cs="Times New Roman"/>
          <w:sz w:val="24"/>
          <w:szCs w:val="24"/>
        </w:rPr>
        <w:t xml:space="preserve"> tinkamai pagrįst</w:t>
      </w:r>
      <w:r w:rsidR="00D6277D">
        <w:rPr>
          <w:rFonts w:ascii="Times New Roman" w:hAnsi="Times New Roman" w:cs="Times New Roman"/>
          <w:sz w:val="24"/>
          <w:szCs w:val="24"/>
        </w:rPr>
        <w:t>os</w:t>
      </w:r>
      <w:r w:rsidR="004022C9" w:rsidRPr="004022C9">
        <w:rPr>
          <w:rFonts w:ascii="Times New Roman" w:hAnsi="Times New Roman" w:cs="Times New Roman"/>
          <w:sz w:val="24"/>
          <w:szCs w:val="24"/>
        </w:rPr>
        <w:t>.</w:t>
      </w:r>
    </w:p>
    <w:p w14:paraId="0E96CC19" w14:textId="77777777" w:rsidR="0022494C" w:rsidRDefault="0022494C" w:rsidP="00C16678">
      <w:pPr>
        <w:jc w:val="both"/>
        <w:rPr>
          <w:rFonts w:ascii="Times New Roman" w:hAnsi="Times New Roman" w:cs="Times New Roman"/>
          <w:sz w:val="24"/>
          <w:szCs w:val="24"/>
        </w:rPr>
      </w:pPr>
    </w:p>
    <w:p w14:paraId="2AD2309E" w14:textId="7AE02C03" w:rsidR="00A94E25" w:rsidRPr="00C16678" w:rsidRDefault="00A94E25" w:rsidP="006062A2">
      <w:pPr>
        <w:jc w:val="center"/>
        <w:rPr>
          <w:rFonts w:ascii="Times New Roman" w:hAnsi="Times New Roman" w:cs="Times New Roman"/>
          <w:b/>
          <w:bCs/>
          <w:sz w:val="28"/>
          <w:szCs w:val="28"/>
        </w:rPr>
      </w:pPr>
      <w:r w:rsidRPr="00C16678">
        <w:rPr>
          <w:rFonts w:ascii="Times New Roman" w:hAnsi="Times New Roman" w:cs="Times New Roman"/>
          <w:b/>
          <w:bCs/>
          <w:sz w:val="28"/>
          <w:szCs w:val="28"/>
        </w:rPr>
        <w:lastRenderedPageBreak/>
        <w:t xml:space="preserve">5. </w:t>
      </w:r>
      <w:r w:rsidR="00AC107D" w:rsidRPr="00C16678">
        <w:rPr>
          <w:rFonts w:ascii="Times New Roman" w:hAnsi="Times New Roman" w:cs="Times New Roman"/>
          <w:b/>
          <w:bCs/>
          <w:sz w:val="28"/>
          <w:szCs w:val="28"/>
        </w:rPr>
        <w:t>BENDRA IŠVADA IR NAUDOS BEI RIZIKOS VERTINIMAS</w:t>
      </w:r>
    </w:p>
    <w:p w14:paraId="7AE06A40" w14:textId="25A13BAC" w:rsidR="00A94E25" w:rsidRDefault="005D20B1" w:rsidP="003948F8">
      <w:pPr>
        <w:ind w:firstLine="567"/>
        <w:jc w:val="both"/>
        <w:rPr>
          <w:rFonts w:ascii="Times New Roman" w:hAnsi="Times New Roman" w:cs="Times New Roman"/>
          <w:sz w:val="24"/>
          <w:szCs w:val="24"/>
        </w:rPr>
      </w:pPr>
      <w:r>
        <w:rPr>
          <w:rFonts w:ascii="Times New Roman" w:hAnsi="Times New Roman" w:cs="Times New Roman"/>
          <w:sz w:val="24"/>
          <w:szCs w:val="24"/>
        </w:rPr>
        <w:t>Sąrankoje</w:t>
      </w:r>
      <w:r w:rsidR="00B666C0" w:rsidRPr="00B666C0">
        <w:rPr>
          <w:rFonts w:ascii="Times New Roman" w:hAnsi="Times New Roman" w:cs="Times New Roman"/>
          <w:sz w:val="24"/>
          <w:szCs w:val="24"/>
        </w:rPr>
        <w:t xml:space="preserve"> pateikti duomenys rodo, kad naudojant </w:t>
      </w:r>
      <w:r>
        <w:rPr>
          <w:rFonts w:ascii="Times New Roman" w:hAnsi="Times New Roman" w:cs="Times New Roman"/>
          <w:sz w:val="24"/>
          <w:szCs w:val="24"/>
        </w:rPr>
        <w:t>vaistą</w:t>
      </w:r>
      <w:r w:rsidR="00B666C0" w:rsidRPr="00B666C0">
        <w:rPr>
          <w:rFonts w:ascii="Times New Roman" w:hAnsi="Times New Roman" w:cs="Times New Roman"/>
          <w:sz w:val="24"/>
          <w:szCs w:val="24"/>
        </w:rPr>
        <w:t xml:space="preserve"> pagal </w:t>
      </w:r>
      <w:r>
        <w:rPr>
          <w:rFonts w:ascii="Times New Roman" w:hAnsi="Times New Roman" w:cs="Times New Roman"/>
          <w:sz w:val="24"/>
          <w:szCs w:val="24"/>
        </w:rPr>
        <w:t>VVA</w:t>
      </w:r>
      <w:r w:rsidR="00B666C0" w:rsidRPr="00B666C0">
        <w:rPr>
          <w:rFonts w:ascii="Times New Roman" w:hAnsi="Times New Roman" w:cs="Times New Roman"/>
          <w:sz w:val="24"/>
          <w:szCs w:val="24"/>
        </w:rPr>
        <w:t xml:space="preserve">, rizikos ir naudos santykis tikslinėms rūšims yra palankus, o </w:t>
      </w:r>
      <w:r w:rsidR="00C16678">
        <w:rPr>
          <w:rFonts w:ascii="Times New Roman" w:hAnsi="Times New Roman" w:cs="Times New Roman"/>
          <w:sz w:val="24"/>
          <w:szCs w:val="24"/>
        </w:rPr>
        <w:t>vaisto</w:t>
      </w:r>
      <w:r w:rsidR="00B666C0" w:rsidRPr="00B666C0">
        <w:rPr>
          <w:rFonts w:ascii="Times New Roman" w:hAnsi="Times New Roman" w:cs="Times New Roman"/>
          <w:sz w:val="24"/>
          <w:szCs w:val="24"/>
        </w:rPr>
        <w:t xml:space="preserve"> kokybė ir saugumas žmonėms ir aplinkai yra priimtinas.</w:t>
      </w:r>
    </w:p>
    <w:p w14:paraId="12588DE8" w14:textId="77777777" w:rsidR="003975D3" w:rsidRDefault="003975D3" w:rsidP="00084C40">
      <w:pPr>
        <w:jc w:val="both"/>
        <w:rPr>
          <w:rFonts w:ascii="Times New Roman" w:hAnsi="Times New Roman" w:cs="Times New Roman"/>
          <w:sz w:val="24"/>
          <w:szCs w:val="24"/>
        </w:rPr>
      </w:pPr>
    </w:p>
    <w:p w14:paraId="55BA0582" w14:textId="7F5D883C" w:rsidR="00B666C0" w:rsidRPr="003975D3" w:rsidRDefault="004F078F" w:rsidP="003975D3">
      <w:pPr>
        <w:jc w:val="center"/>
        <w:rPr>
          <w:rFonts w:ascii="Times New Roman" w:hAnsi="Times New Roman" w:cs="Times New Roman"/>
          <w:b/>
          <w:bCs/>
          <w:sz w:val="28"/>
          <w:szCs w:val="28"/>
        </w:rPr>
      </w:pPr>
      <w:r w:rsidRPr="003975D3">
        <w:rPr>
          <w:rFonts w:ascii="Times New Roman" w:hAnsi="Times New Roman" w:cs="Times New Roman"/>
          <w:b/>
          <w:bCs/>
          <w:sz w:val="28"/>
          <w:szCs w:val="28"/>
        </w:rPr>
        <w:t>6. PROCEDŪROS PO REGISTRACIJOS</w:t>
      </w:r>
    </w:p>
    <w:p w14:paraId="6B8F203D" w14:textId="6328682C" w:rsidR="00D107AE" w:rsidRPr="00D107AE" w:rsidRDefault="00EE125E" w:rsidP="003948F8">
      <w:pPr>
        <w:ind w:firstLine="567"/>
        <w:jc w:val="both"/>
        <w:rPr>
          <w:rFonts w:ascii="Times New Roman" w:hAnsi="Times New Roman" w:cs="Times New Roman"/>
          <w:sz w:val="24"/>
          <w:szCs w:val="24"/>
        </w:rPr>
      </w:pPr>
      <w:r>
        <w:rPr>
          <w:rFonts w:ascii="Times New Roman" w:hAnsi="Times New Roman" w:cs="Times New Roman"/>
          <w:sz w:val="24"/>
          <w:szCs w:val="24"/>
        </w:rPr>
        <w:t>VVA</w:t>
      </w:r>
      <w:r w:rsidR="00D107AE" w:rsidRPr="00D107AE">
        <w:rPr>
          <w:rFonts w:ascii="Times New Roman" w:hAnsi="Times New Roman" w:cs="Times New Roman"/>
          <w:sz w:val="24"/>
          <w:szCs w:val="24"/>
        </w:rPr>
        <w:t xml:space="preserve"> ir pakuotės lapelis gali būti atnaujinami, kad būtų įtraukta nauja informacija apie </w:t>
      </w:r>
      <w:r>
        <w:rPr>
          <w:rFonts w:ascii="Times New Roman" w:hAnsi="Times New Roman" w:cs="Times New Roman"/>
          <w:sz w:val="24"/>
          <w:szCs w:val="24"/>
        </w:rPr>
        <w:t>vaisto</w:t>
      </w:r>
      <w:r w:rsidR="00D107AE" w:rsidRPr="00D107AE">
        <w:rPr>
          <w:rFonts w:ascii="Times New Roman" w:hAnsi="Times New Roman" w:cs="Times New Roman"/>
          <w:sz w:val="24"/>
          <w:szCs w:val="24"/>
        </w:rPr>
        <w:t xml:space="preserve"> kokybę, saugumą ir veiksmingumą. Dabartin</w:t>
      </w:r>
      <w:r>
        <w:rPr>
          <w:rFonts w:ascii="Times New Roman" w:hAnsi="Times New Roman" w:cs="Times New Roman"/>
          <w:sz w:val="24"/>
          <w:szCs w:val="24"/>
        </w:rPr>
        <w:t>į</w:t>
      </w:r>
      <w:r w:rsidR="00D107AE" w:rsidRPr="00D107AE">
        <w:rPr>
          <w:rFonts w:ascii="Times New Roman" w:hAnsi="Times New Roman" w:cs="Times New Roman"/>
          <w:sz w:val="24"/>
          <w:szCs w:val="24"/>
        </w:rPr>
        <w:t xml:space="preserve"> </w:t>
      </w:r>
      <w:r>
        <w:rPr>
          <w:rFonts w:ascii="Times New Roman" w:hAnsi="Times New Roman" w:cs="Times New Roman"/>
          <w:sz w:val="24"/>
          <w:szCs w:val="24"/>
        </w:rPr>
        <w:t>VVA</w:t>
      </w:r>
      <w:r w:rsidR="00D107AE" w:rsidRPr="00D107AE">
        <w:rPr>
          <w:rFonts w:ascii="Times New Roman" w:hAnsi="Times New Roman" w:cs="Times New Roman"/>
          <w:sz w:val="24"/>
          <w:szCs w:val="24"/>
        </w:rPr>
        <w:t xml:space="preserve"> galima rasti Sąjungos produktų duomenų bazėje.</w:t>
      </w:r>
    </w:p>
    <w:p w14:paraId="7BFB6F6E" w14:textId="18BC119E" w:rsidR="0022494C" w:rsidRDefault="0022494C" w:rsidP="00470C69">
      <w:pPr>
        <w:rPr>
          <w:rFonts w:ascii="Times New Roman" w:hAnsi="Times New Roman" w:cs="Times New Roman"/>
          <w:sz w:val="24"/>
          <w:szCs w:val="24"/>
        </w:rPr>
      </w:pPr>
    </w:p>
    <w:sectPr w:rsidR="0022494C" w:rsidSect="007B11B2">
      <w:headerReference w:type="default" r:id="rId12"/>
      <w:pgSz w:w="11906" w:h="16838"/>
      <w:pgMar w:top="1134" w:right="851"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2D4C0" w14:textId="77777777" w:rsidR="007657AA" w:rsidRDefault="007657AA" w:rsidP="00723745">
      <w:pPr>
        <w:spacing w:after="0" w:line="240" w:lineRule="auto"/>
      </w:pPr>
      <w:r>
        <w:separator/>
      </w:r>
    </w:p>
  </w:endnote>
  <w:endnote w:type="continuationSeparator" w:id="0">
    <w:p w14:paraId="6C41801C" w14:textId="77777777" w:rsidR="007657AA" w:rsidRDefault="007657AA" w:rsidP="00723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xiforma">
    <w:panose1 w:val="00000500000000000000"/>
    <w:charset w:val="BA"/>
    <w:family w:val="auto"/>
    <w:pitch w:val="variable"/>
    <w:sig w:usb0="A00002AF" w:usb1="0000205B" w:usb2="00000000" w:usb3="00000000" w:csb0="00000097"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AE9AF" w14:textId="77777777" w:rsidR="007657AA" w:rsidRDefault="007657AA" w:rsidP="00723745">
      <w:pPr>
        <w:spacing w:after="0" w:line="240" w:lineRule="auto"/>
      </w:pPr>
      <w:r>
        <w:separator/>
      </w:r>
    </w:p>
  </w:footnote>
  <w:footnote w:type="continuationSeparator" w:id="0">
    <w:p w14:paraId="095799BF" w14:textId="77777777" w:rsidR="007657AA" w:rsidRDefault="007657AA" w:rsidP="00723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ayout w:type="fixed"/>
      <w:tblLook w:val="04A0" w:firstRow="1" w:lastRow="0" w:firstColumn="1" w:lastColumn="0" w:noHBand="0" w:noVBand="1"/>
    </w:tblPr>
    <w:tblGrid>
      <w:gridCol w:w="4814"/>
      <w:gridCol w:w="4814"/>
    </w:tblGrid>
    <w:tr w:rsidR="00723745" w14:paraId="497CDF62" w14:textId="77777777" w:rsidTr="00E001FE">
      <w:tc>
        <w:tcPr>
          <w:tcW w:w="4814" w:type="dxa"/>
        </w:tcPr>
        <w:p w14:paraId="05B54C56" w14:textId="48C186F3" w:rsidR="00723745" w:rsidRPr="00E7442D" w:rsidRDefault="00B85935">
          <w:pPr>
            <w:pStyle w:val="Header"/>
            <w:rPr>
              <w:rFonts w:asciiTheme="majorHAnsi" w:hAnsiTheme="majorHAnsi" w:cstheme="majorHAnsi"/>
              <w:b/>
              <w:bCs/>
              <w:sz w:val="24"/>
              <w:szCs w:val="24"/>
            </w:rPr>
          </w:pPr>
          <w:r w:rsidRPr="00E41462">
            <w:t>ALBENOL-100</w:t>
          </w:r>
        </w:p>
      </w:tc>
      <w:tc>
        <w:tcPr>
          <w:tcW w:w="4814" w:type="dxa"/>
        </w:tcPr>
        <w:p w14:paraId="173E3B7D" w14:textId="524EA45E" w:rsidR="00723745" w:rsidRPr="00E7442D" w:rsidRDefault="003C3EE5">
          <w:pPr>
            <w:pStyle w:val="Header"/>
            <w:rPr>
              <w:rFonts w:asciiTheme="majorHAnsi" w:hAnsiTheme="majorHAnsi" w:cstheme="majorHAnsi"/>
              <w:b/>
              <w:bCs/>
              <w:sz w:val="24"/>
              <w:szCs w:val="24"/>
            </w:rPr>
          </w:pPr>
          <w:r w:rsidRPr="00E7442D">
            <w:rPr>
              <w:rFonts w:asciiTheme="majorHAnsi" w:hAnsiTheme="majorHAnsi" w:cstheme="majorHAnsi"/>
              <w:b/>
              <w:bCs/>
              <w:sz w:val="24"/>
              <w:szCs w:val="24"/>
            </w:rPr>
            <w:t>Nr.</w:t>
          </w:r>
          <w:r w:rsidR="00E7442D" w:rsidRPr="00E7442D">
            <w:rPr>
              <w:rFonts w:asciiTheme="majorHAnsi" w:hAnsiTheme="majorHAnsi" w:cstheme="majorHAnsi"/>
              <w:b/>
              <w:bCs/>
              <w:sz w:val="24"/>
              <w:szCs w:val="24"/>
            </w:rPr>
            <w:t xml:space="preserve"> </w:t>
          </w:r>
          <w:r w:rsidR="00321826" w:rsidRPr="00321826">
            <w:rPr>
              <w:rFonts w:asciiTheme="majorHAnsi" w:hAnsiTheme="majorHAnsi" w:cstheme="majorHAnsi"/>
              <w:b/>
              <w:bCs/>
              <w:sz w:val="24"/>
              <w:szCs w:val="24"/>
            </w:rPr>
            <w:t>5A-333</w:t>
          </w:r>
        </w:p>
      </w:tc>
    </w:tr>
    <w:tr w:rsidR="00723745" w14:paraId="1B062D17" w14:textId="77777777" w:rsidTr="00E001FE">
      <w:tc>
        <w:tcPr>
          <w:tcW w:w="4814" w:type="dxa"/>
        </w:tcPr>
        <w:p w14:paraId="56929C8D" w14:textId="70805CEF" w:rsidR="00723745" w:rsidRPr="00B85935" w:rsidRDefault="00B85935" w:rsidP="00B85935">
          <w:pPr>
            <w:rPr>
              <w:rFonts w:asciiTheme="majorHAnsi" w:hAnsiTheme="majorHAnsi" w:cstheme="majorHAnsi"/>
              <w:b/>
              <w:bCs/>
              <w:sz w:val="24"/>
              <w:szCs w:val="24"/>
            </w:rPr>
          </w:pPr>
          <w:r w:rsidRPr="00B85935">
            <w:rPr>
              <w:rFonts w:asciiTheme="majorHAnsi" w:hAnsiTheme="majorHAnsi" w:cstheme="majorHAnsi"/>
              <w:sz w:val="24"/>
              <w:szCs w:val="24"/>
            </w:rPr>
            <w:t>UAB „</w:t>
          </w:r>
          <w:proofErr w:type="spellStart"/>
          <w:r w:rsidRPr="00B85935">
            <w:rPr>
              <w:rFonts w:asciiTheme="majorHAnsi" w:hAnsiTheme="majorHAnsi" w:cstheme="majorHAnsi"/>
              <w:sz w:val="24"/>
              <w:szCs w:val="24"/>
            </w:rPr>
            <w:t>Interchemie</w:t>
          </w:r>
          <w:proofErr w:type="spellEnd"/>
          <w:r w:rsidRPr="00B85935">
            <w:rPr>
              <w:rFonts w:asciiTheme="majorHAnsi" w:hAnsiTheme="majorHAnsi" w:cstheme="majorHAnsi"/>
              <w:sz w:val="24"/>
              <w:szCs w:val="24"/>
            </w:rPr>
            <w:t xml:space="preserve"> </w:t>
          </w:r>
          <w:proofErr w:type="spellStart"/>
          <w:r w:rsidRPr="00B85935">
            <w:rPr>
              <w:rFonts w:asciiTheme="majorHAnsi" w:hAnsiTheme="majorHAnsi" w:cstheme="majorHAnsi"/>
              <w:sz w:val="24"/>
              <w:szCs w:val="24"/>
            </w:rPr>
            <w:t>werken</w:t>
          </w:r>
          <w:proofErr w:type="spellEnd"/>
          <w:r w:rsidRPr="00B85935">
            <w:rPr>
              <w:rFonts w:asciiTheme="majorHAnsi" w:hAnsiTheme="majorHAnsi" w:cstheme="majorHAnsi"/>
              <w:sz w:val="24"/>
              <w:szCs w:val="24"/>
            </w:rPr>
            <w:t xml:space="preserve"> „De </w:t>
          </w:r>
          <w:proofErr w:type="spellStart"/>
          <w:r w:rsidRPr="00B85935">
            <w:rPr>
              <w:rFonts w:asciiTheme="majorHAnsi" w:hAnsiTheme="majorHAnsi" w:cstheme="majorHAnsi"/>
              <w:sz w:val="24"/>
              <w:szCs w:val="24"/>
            </w:rPr>
            <w:t>Adelaar</w:t>
          </w:r>
          <w:proofErr w:type="spellEnd"/>
          <w:r w:rsidRPr="00B85935">
            <w:rPr>
              <w:rFonts w:asciiTheme="majorHAnsi" w:hAnsiTheme="majorHAnsi" w:cstheme="majorHAnsi"/>
              <w:sz w:val="24"/>
              <w:szCs w:val="24"/>
            </w:rPr>
            <w:t>“ LT“</w:t>
          </w:r>
        </w:p>
      </w:tc>
      <w:tc>
        <w:tcPr>
          <w:tcW w:w="4814" w:type="dxa"/>
        </w:tcPr>
        <w:p w14:paraId="518CA0EB" w14:textId="54D3B459" w:rsidR="00723745" w:rsidRPr="00E7442D" w:rsidRDefault="003C3EE5">
          <w:pPr>
            <w:pStyle w:val="Header"/>
            <w:rPr>
              <w:rFonts w:asciiTheme="majorHAnsi" w:hAnsiTheme="majorHAnsi" w:cstheme="majorHAnsi"/>
              <w:b/>
              <w:bCs/>
              <w:sz w:val="24"/>
              <w:szCs w:val="24"/>
            </w:rPr>
          </w:pPr>
          <w:r w:rsidRPr="00E7442D">
            <w:rPr>
              <w:rFonts w:asciiTheme="majorHAnsi" w:hAnsiTheme="majorHAnsi" w:cstheme="majorHAnsi"/>
              <w:b/>
              <w:bCs/>
              <w:sz w:val="24"/>
              <w:szCs w:val="24"/>
            </w:rPr>
            <w:t>Nacionalinė procedūra</w:t>
          </w:r>
        </w:p>
      </w:tc>
    </w:tr>
    <w:tr w:rsidR="00E001FE" w:rsidRPr="00E001FE" w14:paraId="15DB2681" w14:textId="77777777" w:rsidTr="00E001FE">
      <w:tc>
        <w:tcPr>
          <w:tcW w:w="9628" w:type="dxa"/>
          <w:gridSpan w:val="2"/>
        </w:tcPr>
        <w:p w14:paraId="342F4E49" w14:textId="7B4C7894" w:rsidR="00E001FE" w:rsidRPr="00E7442D" w:rsidRDefault="00E001FE">
          <w:pPr>
            <w:pStyle w:val="Header"/>
            <w:rPr>
              <w:rFonts w:asciiTheme="majorHAnsi" w:hAnsiTheme="majorHAnsi" w:cstheme="majorHAnsi"/>
              <w:b/>
              <w:bCs/>
              <w:sz w:val="24"/>
              <w:szCs w:val="24"/>
            </w:rPr>
          </w:pPr>
          <w:r w:rsidRPr="00E7442D">
            <w:rPr>
              <w:rFonts w:asciiTheme="majorHAnsi" w:hAnsiTheme="majorHAnsi" w:cstheme="majorHAnsi"/>
              <w:b/>
              <w:bCs/>
              <w:sz w:val="24"/>
              <w:szCs w:val="24"/>
            </w:rPr>
            <w:t>VIEŠ</w:t>
          </w:r>
          <w:r w:rsidR="001523A2">
            <w:rPr>
              <w:rFonts w:asciiTheme="majorHAnsi" w:hAnsiTheme="majorHAnsi" w:cstheme="majorHAnsi"/>
              <w:b/>
              <w:bCs/>
              <w:sz w:val="24"/>
              <w:szCs w:val="24"/>
            </w:rPr>
            <w:t>OJI</w:t>
          </w:r>
          <w:r w:rsidRPr="00E7442D">
            <w:rPr>
              <w:rFonts w:asciiTheme="majorHAnsi" w:hAnsiTheme="majorHAnsi" w:cstheme="majorHAnsi"/>
              <w:b/>
              <w:bCs/>
              <w:sz w:val="24"/>
              <w:szCs w:val="24"/>
            </w:rPr>
            <w:t xml:space="preserve"> VETERINARINIO VAISTO VERTINIMO ATASKAITA</w:t>
          </w:r>
        </w:p>
      </w:tc>
    </w:tr>
  </w:tbl>
  <w:p w14:paraId="25EDF892" w14:textId="77777777" w:rsidR="00723745" w:rsidRPr="00E001FE" w:rsidRDefault="007237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D51FE"/>
    <w:multiLevelType w:val="hybridMultilevel"/>
    <w:tmpl w:val="26D630E4"/>
    <w:lvl w:ilvl="0" w:tplc="1632DB4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A11697"/>
    <w:multiLevelType w:val="hybridMultilevel"/>
    <w:tmpl w:val="7C02B6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CA0CEF"/>
    <w:multiLevelType w:val="hybridMultilevel"/>
    <w:tmpl w:val="89CA770C"/>
    <w:lvl w:ilvl="0" w:tplc="B9BC00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E5A4A5E"/>
    <w:multiLevelType w:val="hybridMultilevel"/>
    <w:tmpl w:val="32E2840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42527240">
    <w:abstractNumId w:val="0"/>
  </w:num>
  <w:num w:numId="2" w16cid:durableId="224149913">
    <w:abstractNumId w:val="1"/>
  </w:num>
  <w:num w:numId="3" w16cid:durableId="514618466">
    <w:abstractNumId w:val="3"/>
  </w:num>
  <w:num w:numId="4" w16cid:durableId="334380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57F"/>
    <w:rsid w:val="000003F1"/>
    <w:rsid w:val="00000731"/>
    <w:rsid w:val="00003B11"/>
    <w:rsid w:val="00030C25"/>
    <w:rsid w:val="000335CE"/>
    <w:rsid w:val="000405EC"/>
    <w:rsid w:val="00047C77"/>
    <w:rsid w:val="00050F87"/>
    <w:rsid w:val="00051EE4"/>
    <w:rsid w:val="00054DA5"/>
    <w:rsid w:val="00084C40"/>
    <w:rsid w:val="000908A4"/>
    <w:rsid w:val="000C2DE8"/>
    <w:rsid w:val="000C5BF9"/>
    <w:rsid w:val="000D66A0"/>
    <w:rsid w:val="000D7194"/>
    <w:rsid w:val="000F4CA7"/>
    <w:rsid w:val="000F733D"/>
    <w:rsid w:val="00122AC1"/>
    <w:rsid w:val="0012683A"/>
    <w:rsid w:val="00126C5A"/>
    <w:rsid w:val="00132B70"/>
    <w:rsid w:val="0014119B"/>
    <w:rsid w:val="00142C4B"/>
    <w:rsid w:val="001453AA"/>
    <w:rsid w:val="001523A2"/>
    <w:rsid w:val="001663AB"/>
    <w:rsid w:val="00171917"/>
    <w:rsid w:val="001721DA"/>
    <w:rsid w:val="00174C0B"/>
    <w:rsid w:val="001856CE"/>
    <w:rsid w:val="001A54BC"/>
    <w:rsid w:val="001B0D72"/>
    <w:rsid w:val="001B4313"/>
    <w:rsid w:val="001B6881"/>
    <w:rsid w:val="001C5DAB"/>
    <w:rsid w:val="001D08F6"/>
    <w:rsid w:val="001D4511"/>
    <w:rsid w:val="001D6834"/>
    <w:rsid w:val="001E11D8"/>
    <w:rsid w:val="001F2BBD"/>
    <w:rsid w:val="00202B19"/>
    <w:rsid w:val="00207683"/>
    <w:rsid w:val="00221A0A"/>
    <w:rsid w:val="0022494C"/>
    <w:rsid w:val="00225E68"/>
    <w:rsid w:val="00245710"/>
    <w:rsid w:val="0025249B"/>
    <w:rsid w:val="0027721E"/>
    <w:rsid w:val="002822B5"/>
    <w:rsid w:val="00291005"/>
    <w:rsid w:val="002A2AE8"/>
    <w:rsid w:val="002A757C"/>
    <w:rsid w:val="002A7751"/>
    <w:rsid w:val="002D2E8A"/>
    <w:rsid w:val="002D57A1"/>
    <w:rsid w:val="002D65E7"/>
    <w:rsid w:val="00310D24"/>
    <w:rsid w:val="00321826"/>
    <w:rsid w:val="00327C66"/>
    <w:rsid w:val="00331962"/>
    <w:rsid w:val="00336ED8"/>
    <w:rsid w:val="00345E62"/>
    <w:rsid w:val="003542CB"/>
    <w:rsid w:val="003643AA"/>
    <w:rsid w:val="0037355B"/>
    <w:rsid w:val="00374581"/>
    <w:rsid w:val="00383340"/>
    <w:rsid w:val="003869DE"/>
    <w:rsid w:val="00392A09"/>
    <w:rsid w:val="003948F8"/>
    <w:rsid w:val="003975D3"/>
    <w:rsid w:val="003A2579"/>
    <w:rsid w:val="003C3EE5"/>
    <w:rsid w:val="003E4F1C"/>
    <w:rsid w:val="003E6AB3"/>
    <w:rsid w:val="003F7CDA"/>
    <w:rsid w:val="004004C1"/>
    <w:rsid w:val="004022C9"/>
    <w:rsid w:val="0040296F"/>
    <w:rsid w:val="004165C3"/>
    <w:rsid w:val="00417505"/>
    <w:rsid w:val="00426C4B"/>
    <w:rsid w:val="004367A1"/>
    <w:rsid w:val="00442D44"/>
    <w:rsid w:val="00454D22"/>
    <w:rsid w:val="0046071C"/>
    <w:rsid w:val="0046457F"/>
    <w:rsid w:val="00465AE9"/>
    <w:rsid w:val="00465BC1"/>
    <w:rsid w:val="00470C69"/>
    <w:rsid w:val="00475D9B"/>
    <w:rsid w:val="004809FD"/>
    <w:rsid w:val="004872FD"/>
    <w:rsid w:val="00494BB1"/>
    <w:rsid w:val="004B2ADA"/>
    <w:rsid w:val="004C50EE"/>
    <w:rsid w:val="004D44C7"/>
    <w:rsid w:val="004E1BCE"/>
    <w:rsid w:val="004F0593"/>
    <w:rsid w:val="004F078F"/>
    <w:rsid w:val="005026CB"/>
    <w:rsid w:val="00504B33"/>
    <w:rsid w:val="00506F3B"/>
    <w:rsid w:val="005153F1"/>
    <w:rsid w:val="00541569"/>
    <w:rsid w:val="00557F44"/>
    <w:rsid w:val="0056122D"/>
    <w:rsid w:val="00583A67"/>
    <w:rsid w:val="00594A68"/>
    <w:rsid w:val="005A26BA"/>
    <w:rsid w:val="005A40FB"/>
    <w:rsid w:val="005A52DE"/>
    <w:rsid w:val="005C5419"/>
    <w:rsid w:val="005C5A78"/>
    <w:rsid w:val="005D20B1"/>
    <w:rsid w:val="005D467E"/>
    <w:rsid w:val="005D643F"/>
    <w:rsid w:val="005F3A9C"/>
    <w:rsid w:val="005F7731"/>
    <w:rsid w:val="00600B3C"/>
    <w:rsid w:val="006062A2"/>
    <w:rsid w:val="00615245"/>
    <w:rsid w:val="00623271"/>
    <w:rsid w:val="00630F6F"/>
    <w:rsid w:val="00640599"/>
    <w:rsid w:val="00642F36"/>
    <w:rsid w:val="006441F1"/>
    <w:rsid w:val="00645498"/>
    <w:rsid w:val="00650330"/>
    <w:rsid w:val="006505B9"/>
    <w:rsid w:val="00665990"/>
    <w:rsid w:val="006663CF"/>
    <w:rsid w:val="00683ED9"/>
    <w:rsid w:val="00692F20"/>
    <w:rsid w:val="00693378"/>
    <w:rsid w:val="00693B8B"/>
    <w:rsid w:val="006A0FC6"/>
    <w:rsid w:val="006A4B90"/>
    <w:rsid w:val="006B2069"/>
    <w:rsid w:val="006C4166"/>
    <w:rsid w:val="006D359D"/>
    <w:rsid w:val="006D3CFD"/>
    <w:rsid w:val="007039F5"/>
    <w:rsid w:val="00717321"/>
    <w:rsid w:val="00723745"/>
    <w:rsid w:val="0072460E"/>
    <w:rsid w:val="00747363"/>
    <w:rsid w:val="007657AA"/>
    <w:rsid w:val="00775882"/>
    <w:rsid w:val="00784FFD"/>
    <w:rsid w:val="00796756"/>
    <w:rsid w:val="007A23AB"/>
    <w:rsid w:val="007A7CA8"/>
    <w:rsid w:val="007B11B2"/>
    <w:rsid w:val="007D79C5"/>
    <w:rsid w:val="007F4288"/>
    <w:rsid w:val="00804C85"/>
    <w:rsid w:val="00806A81"/>
    <w:rsid w:val="008072D3"/>
    <w:rsid w:val="0081127B"/>
    <w:rsid w:val="00815D23"/>
    <w:rsid w:val="008306FC"/>
    <w:rsid w:val="0083658E"/>
    <w:rsid w:val="00843F45"/>
    <w:rsid w:val="00853E67"/>
    <w:rsid w:val="00857CA9"/>
    <w:rsid w:val="00870190"/>
    <w:rsid w:val="008942B8"/>
    <w:rsid w:val="008A169D"/>
    <w:rsid w:val="008A1A6D"/>
    <w:rsid w:val="008C1110"/>
    <w:rsid w:val="008C15E7"/>
    <w:rsid w:val="008C7089"/>
    <w:rsid w:val="008F3C1C"/>
    <w:rsid w:val="008F59B1"/>
    <w:rsid w:val="008F6599"/>
    <w:rsid w:val="008F7634"/>
    <w:rsid w:val="00901906"/>
    <w:rsid w:val="00911DB5"/>
    <w:rsid w:val="00915BAD"/>
    <w:rsid w:val="00920114"/>
    <w:rsid w:val="009259E6"/>
    <w:rsid w:val="009356D6"/>
    <w:rsid w:val="009461B3"/>
    <w:rsid w:val="009602AA"/>
    <w:rsid w:val="00963764"/>
    <w:rsid w:val="0096779F"/>
    <w:rsid w:val="009913C7"/>
    <w:rsid w:val="009B7EAD"/>
    <w:rsid w:val="009D6375"/>
    <w:rsid w:val="009F1F08"/>
    <w:rsid w:val="00A22574"/>
    <w:rsid w:val="00A2261F"/>
    <w:rsid w:val="00A22E02"/>
    <w:rsid w:val="00A31DB1"/>
    <w:rsid w:val="00A370C4"/>
    <w:rsid w:val="00A46CDE"/>
    <w:rsid w:val="00A567E8"/>
    <w:rsid w:val="00A60611"/>
    <w:rsid w:val="00A616AF"/>
    <w:rsid w:val="00A67B30"/>
    <w:rsid w:val="00A85479"/>
    <w:rsid w:val="00A90ABD"/>
    <w:rsid w:val="00A9117A"/>
    <w:rsid w:val="00A91CF2"/>
    <w:rsid w:val="00A94E25"/>
    <w:rsid w:val="00AA5AC0"/>
    <w:rsid w:val="00AB7263"/>
    <w:rsid w:val="00AB758D"/>
    <w:rsid w:val="00AC107D"/>
    <w:rsid w:val="00AC4E54"/>
    <w:rsid w:val="00AC6118"/>
    <w:rsid w:val="00AC63C0"/>
    <w:rsid w:val="00AC6FC0"/>
    <w:rsid w:val="00AD206B"/>
    <w:rsid w:val="00AD28DB"/>
    <w:rsid w:val="00AD4747"/>
    <w:rsid w:val="00AF02FA"/>
    <w:rsid w:val="00AF77F8"/>
    <w:rsid w:val="00B01424"/>
    <w:rsid w:val="00B048CB"/>
    <w:rsid w:val="00B0779B"/>
    <w:rsid w:val="00B11277"/>
    <w:rsid w:val="00B246C6"/>
    <w:rsid w:val="00B305DE"/>
    <w:rsid w:val="00B36512"/>
    <w:rsid w:val="00B4206A"/>
    <w:rsid w:val="00B43550"/>
    <w:rsid w:val="00B4795F"/>
    <w:rsid w:val="00B52E06"/>
    <w:rsid w:val="00B61F40"/>
    <w:rsid w:val="00B666C0"/>
    <w:rsid w:val="00B753AE"/>
    <w:rsid w:val="00B8183C"/>
    <w:rsid w:val="00B85935"/>
    <w:rsid w:val="00B96513"/>
    <w:rsid w:val="00B9776D"/>
    <w:rsid w:val="00BB1DAD"/>
    <w:rsid w:val="00BC311F"/>
    <w:rsid w:val="00BD2F0E"/>
    <w:rsid w:val="00BD4AB3"/>
    <w:rsid w:val="00BE2BD4"/>
    <w:rsid w:val="00BF29EF"/>
    <w:rsid w:val="00BF59DF"/>
    <w:rsid w:val="00C06533"/>
    <w:rsid w:val="00C14940"/>
    <w:rsid w:val="00C16678"/>
    <w:rsid w:val="00C16D8F"/>
    <w:rsid w:val="00C36841"/>
    <w:rsid w:val="00C36862"/>
    <w:rsid w:val="00C5163F"/>
    <w:rsid w:val="00C5515C"/>
    <w:rsid w:val="00C57D68"/>
    <w:rsid w:val="00C609BF"/>
    <w:rsid w:val="00C85C93"/>
    <w:rsid w:val="00C96B40"/>
    <w:rsid w:val="00CA5A2A"/>
    <w:rsid w:val="00CC7F1E"/>
    <w:rsid w:val="00CD0825"/>
    <w:rsid w:val="00CE7AE2"/>
    <w:rsid w:val="00CF09C0"/>
    <w:rsid w:val="00CF3F63"/>
    <w:rsid w:val="00D01DE0"/>
    <w:rsid w:val="00D107AE"/>
    <w:rsid w:val="00D1712C"/>
    <w:rsid w:val="00D32E84"/>
    <w:rsid w:val="00D46899"/>
    <w:rsid w:val="00D55A85"/>
    <w:rsid w:val="00D61888"/>
    <w:rsid w:val="00D6277D"/>
    <w:rsid w:val="00D64DAB"/>
    <w:rsid w:val="00D67008"/>
    <w:rsid w:val="00D849DE"/>
    <w:rsid w:val="00D849DF"/>
    <w:rsid w:val="00D923E3"/>
    <w:rsid w:val="00D93CC2"/>
    <w:rsid w:val="00DA57AA"/>
    <w:rsid w:val="00DA64FF"/>
    <w:rsid w:val="00DC140E"/>
    <w:rsid w:val="00DE74BF"/>
    <w:rsid w:val="00DF1251"/>
    <w:rsid w:val="00E001FE"/>
    <w:rsid w:val="00E01965"/>
    <w:rsid w:val="00E025F3"/>
    <w:rsid w:val="00E22345"/>
    <w:rsid w:val="00E306E7"/>
    <w:rsid w:val="00E41C7A"/>
    <w:rsid w:val="00E65B81"/>
    <w:rsid w:val="00E70A8B"/>
    <w:rsid w:val="00E732EA"/>
    <w:rsid w:val="00E7442D"/>
    <w:rsid w:val="00E8367B"/>
    <w:rsid w:val="00EA41A1"/>
    <w:rsid w:val="00EB148B"/>
    <w:rsid w:val="00EB4023"/>
    <w:rsid w:val="00ED3EF6"/>
    <w:rsid w:val="00EE050B"/>
    <w:rsid w:val="00EE125E"/>
    <w:rsid w:val="00EE36EF"/>
    <w:rsid w:val="00EE6C24"/>
    <w:rsid w:val="00EF2975"/>
    <w:rsid w:val="00EF2C1E"/>
    <w:rsid w:val="00F02A54"/>
    <w:rsid w:val="00F1053D"/>
    <w:rsid w:val="00F20C3F"/>
    <w:rsid w:val="00F449FF"/>
    <w:rsid w:val="00F46EEE"/>
    <w:rsid w:val="00F51D3E"/>
    <w:rsid w:val="00F56CBD"/>
    <w:rsid w:val="00F57730"/>
    <w:rsid w:val="00F70135"/>
    <w:rsid w:val="00F8303B"/>
    <w:rsid w:val="00F933E3"/>
    <w:rsid w:val="00FA2BE8"/>
    <w:rsid w:val="00FA4925"/>
    <w:rsid w:val="00FB41AD"/>
    <w:rsid w:val="00FC4FD5"/>
    <w:rsid w:val="00FE46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17A46"/>
  <w15:chartTrackingRefBased/>
  <w15:docId w15:val="{5B4F114A-D622-474D-AB7D-EC3024750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1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745"/>
    <w:pPr>
      <w:tabs>
        <w:tab w:val="center" w:pos="4819"/>
        <w:tab w:val="right" w:pos="9638"/>
      </w:tabs>
      <w:spacing w:after="0" w:line="240" w:lineRule="auto"/>
    </w:pPr>
  </w:style>
  <w:style w:type="character" w:customStyle="1" w:styleId="HeaderChar">
    <w:name w:val="Header Char"/>
    <w:basedOn w:val="DefaultParagraphFont"/>
    <w:link w:val="Header"/>
    <w:uiPriority w:val="99"/>
    <w:rsid w:val="00723745"/>
  </w:style>
  <w:style w:type="paragraph" w:styleId="Footer">
    <w:name w:val="footer"/>
    <w:basedOn w:val="Normal"/>
    <w:link w:val="FooterChar"/>
    <w:uiPriority w:val="99"/>
    <w:unhideWhenUsed/>
    <w:rsid w:val="00723745"/>
    <w:pPr>
      <w:tabs>
        <w:tab w:val="center" w:pos="4819"/>
        <w:tab w:val="right" w:pos="9638"/>
      </w:tabs>
      <w:spacing w:after="0" w:line="240" w:lineRule="auto"/>
    </w:pPr>
  </w:style>
  <w:style w:type="character" w:customStyle="1" w:styleId="FooterChar">
    <w:name w:val="Footer Char"/>
    <w:basedOn w:val="DefaultParagraphFont"/>
    <w:link w:val="Footer"/>
    <w:uiPriority w:val="99"/>
    <w:rsid w:val="00723745"/>
  </w:style>
  <w:style w:type="table" w:styleId="TableGrid">
    <w:name w:val="Table Grid"/>
    <w:basedOn w:val="TableNormal"/>
    <w:rsid w:val="007237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2E8A"/>
    <w:pPr>
      <w:ind w:left="720"/>
      <w:contextualSpacing/>
    </w:pPr>
  </w:style>
  <w:style w:type="character" w:styleId="Hyperlink">
    <w:name w:val="Hyperlink"/>
    <w:basedOn w:val="DefaultParagraphFont"/>
    <w:uiPriority w:val="99"/>
    <w:unhideWhenUsed/>
    <w:rsid w:val="000D7194"/>
    <w:rPr>
      <w:color w:val="0563C1" w:themeColor="hyperlink"/>
      <w:u w:val="single"/>
    </w:rPr>
  </w:style>
  <w:style w:type="character" w:styleId="UnresolvedMention">
    <w:name w:val="Unresolved Mention"/>
    <w:basedOn w:val="DefaultParagraphFont"/>
    <w:uiPriority w:val="99"/>
    <w:semiHidden/>
    <w:unhideWhenUsed/>
    <w:rsid w:val="000D7194"/>
    <w:rPr>
      <w:color w:val="605E5C"/>
      <w:shd w:val="clear" w:color="auto" w:fill="E1DFDD"/>
    </w:rPr>
  </w:style>
  <w:style w:type="paragraph" w:customStyle="1" w:styleId="QMSPARbodytext">
    <w:name w:val="QMS PAR body text"/>
    <w:basedOn w:val="Normal"/>
    <w:uiPriority w:val="99"/>
    <w:rsid w:val="00F57730"/>
    <w:pPr>
      <w:spacing w:before="120" w:after="120" w:line="240" w:lineRule="auto"/>
      <w:jc w:val="both"/>
    </w:pPr>
    <w:rPr>
      <w:rFonts w:ascii="Times New Roman" w:eastAsia="Times New Roman" w:hAnsi="Times New Roman" w:cs="Times New Roman"/>
      <w:kern w:val="0"/>
      <w:lang w:val="en-IE"/>
      <w14:ligatures w14:val="none"/>
    </w:rPr>
  </w:style>
  <w:style w:type="paragraph" w:styleId="Revision">
    <w:name w:val="Revision"/>
    <w:hidden/>
    <w:uiPriority w:val="99"/>
    <w:semiHidden/>
    <w:rsid w:val="002D65E7"/>
    <w:pPr>
      <w:spacing w:after="0" w:line="240" w:lineRule="auto"/>
    </w:pPr>
  </w:style>
  <w:style w:type="character" w:styleId="CommentReference">
    <w:name w:val="annotation reference"/>
    <w:qFormat/>
    <w:rsid w:val="000003F1"/>
    <w:rPr>
      <w:sz w:val="16"/>
    </w:rPr>
  </w:style>
  <w:style w:type="paragraph" w:styleId="CommentText">
    <w:name w:val="annotation text"/>
    <w:aliases w:val="Kommentarer"/>
    <w:basedOn w:val="Normal"/>
    <w:link w:val="CommentTextChar"/>
    <w:uiPriority w:val="99"/>
    <w:qFormat/>
    <w:rsid w:val="000003F1"/>
    <w:pPr>
      <w:tabs>
        <w:tab w:val="left" w:pos="567"/>
      </w:tabs>
      <w:spacing w:after="0" w:line="260" w:lineRule="exact"/>
    </w:pPr>
    <w:rPr>
      <w:rFonts w:ascii="Times New Roman" w:eastAsia="Times New Roman" w:hAnsi="Times New Roman" w:cs="Times New Roman"/>
      <w:kern w:val="0"/>
      <w:sz w:val="20"/>
      <w:szCs w:val="20"/>
      <w14:ligatures w14:val="none"/>
    </w:rPr>
  </w:style>
  <w:style w:type="character" w:customStyle="1" w:styleId="CommentTextChar">
    <w:name w:val="Comment Text Char"/>
    <w:aliases w:val="Kommentarer Char"/>
    <w:basedOn w:val="DefaultParagraphFont"/>
    <w:link w:val="CommentText"/>
    <w:uiPriority w:val="99"/>
    <w:qFormat/>
    <w:rsid w:val="000003F1"/>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43193">
      <w:bodyDiv w:val="1"/>
      <w:marLeft w:val="0"/>
      <w:marRight w:val="0"/>
      <w:marTop w:val="0"/>
      <w:marBottom w:val="0"/>
      <w:divBdr>
        <w:top w:val="none" w:sz="0" w:space="0" w:color="auto"/>
        <w:left w:val="none" w:sz="0" w:space="0" w:color="auto"/>
        <w:bottom w:val="none" w:sz="0" w:space="0" w:color="auto"/>
        <w:right w:val="none" w:sz="0" w:space="0" w:color="auto"/>
      </w:divBdr>
    </w:div>
    <w:div w:id="270747006">
      <w:bodyDiv w:val="1"/>
      <w:marLeft w:val="0"/>
      <w:marRight w:val="0"/>
      <w:marTop w:val="0"/>
      <w:marBottom w:val="0"/>
      <w:divBdr>
        <w:top w:val="none" w:sz="0" w:space="0" w:color="auto"/>
        <w:left w:val="none" w:sz="0" w:space="0" w:color="auto"/>
        <w:bottom w:val="none" w:sz="0" w:space="0" w:color="auto"/>
        <w:right w:val="none" w:sz="0" w:space="0" w:color="auto"/>
      </w:divBdr>
    </w:div>
    <w:div w:id="297415223">
      <w:bodyDiv w:val="1"/>
      <w:marLeft w:val="0"/>
      <w:marRight w:val="0"/>
      <w:marTop w:val="0"/>
      <w:marBottom w:val="0"/>
      <w:divBdr>
        <w:top w:val="none" w:sz="0" w:space="0" w:color="auto"/>
        <w:left w:val="none" w:sz="0" w:space="0" w:color="auto"/>
        <w:bottom w:val="none" w:sz="0" w:space="0" w:color="auto"/>
        <w:right w:val="none" w:sz="0" w:space="0" w:color="auto"/>
      </w:divBdr>
    </w:div>
    <w:div w:id="102783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cines.health.europa.eu/veterinary/lt" TargetMode="External"/><Relationship Id="rId5" Type="http://schemas.openxmlformats.org/officeDocument/2006/relationships/webSettings" Target="webSettings.xml"/><Relationship Id="rId10" Type="http://schemas.openxmlformats.org/officeDocument/2006/relationships/hyperlink" Target="http://vetlt1.vet.lt/vr/" TargetMode="External"/><Relationship Id="rId4" Type="http://schemas.openxmlformats.org/officeDocument/2006/relationships/settings" Target="settings.xml"/><Relationship Id="rId9" Type="http://schemas.openxmlformats.org/officeDocument/2006/relationships/image" Target="cid:image001.jpg@01D96EC4.1F3EB93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ED8E0-D0C4-471F-98DA-50C80CAE6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8145</Words>
  <Characters>4643</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VMVT</Company>
  <LinksUpToDate>false</LinksUpToDate>
  <CharactersWithSpaces>12763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 Stankevičienė</dc:creator>
  <cp:keywords/>
  <dc:description/>
  <cp:lastModifiedBy>Virginijus Jakubavičius</cp:lastModifiedBy>
  <cp:revision>2</cp:revision>
  <dcterms:created xsi:type="dcterms:W3CDTF">2025-12-29T05:42:00Z</dcterms:created>
  <dcterms:modified xsi:type="dcterms:W3CDTF">2025-12-29T05:42:00Z</dcterms:modified>
</cp:coreProperties>
</file>