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4C71" w14:textId="77777777" w:rsidR="00864E7E" w:rsidRDefault="00864E7E" w:rsidP="00864E7E">
      <w:pPr>
        <w:shd w:val="clear" w:color="auto" w:fill="FFFFFF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Kokybės sistemos programos KT-2-4-11 </w:t>
      </w:r>
    </w:p>
    <w:p w14:paraId="62483A8E" w14:textId="77777777" w:rsidR="00864E7E" w:rsidRDefault="00864E7E" w:rsidP="00864E7E">
      <w:pPr>
        <w:shd w:val="clear" w:color="auto" w:fill="FFFFFF"/>
        <w:spacing w:line="240" w:lineRule="auto"/>
        <w:jc w:val="right"/>
      </w:pPr>
      <w:r>
        <w:rPr>
          <w:rFonts w:ascii="Times New Roman" w:hAnsi="Times New Roman" w:cs="Times New Roman"/>
          <w:lang w:val="lt-LT"/>
        </w:rPr>
        <w:t>„</w:t>
      </w:r>
      <w:r>
        <w:rPr>
          <w:rFonts w:ascii="Times New Roman" w:hAnsi="Times New Roman" w:cs="Times New Roman"/>
          <w:lang w:val="lt-LT" w:eastAsia="en-US"/>
        </w:rPr>
        <w:t>Šalutinių gyvūninių produktų tvarkymo įmonių valstybinė veterinarinė kontrolė</w:t>
      </w:r>
      <w:r>
        <w:rPr>
          <w:rFonts w:ascii="Times New Roman" w:hAnsi="Times New Roman" w:cs="Times New Roman"/>
          <w:lang w:val="lt-LT"/>
        </w:rPr>
        <w:t xml:space="preserve">“ </w:t>
      </w:r>
    </w:p>
    <w:p w14:paraId="07FB4512" w14:textId="77777777" w:rsidR="00864E7E" w:rsidRDefault="00864E7E" w:rsidP="00864E7E">
      <w:pPr>
        <w:shd w:val="clear" w:color="auto" w:fill="FFFFFF"/>
        <w:spacing w:line="240" w:lineRule="auto"/>
        <w:jc w:val="right"/>
        <w:rPr>
          <w:rFonts w:ascii="Times New Roman" w:eastAsia="Arial Unicode MS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>7 priedas</w:t>
      </w:r>
    </w:p>
    <w:p w14:paraId="4D9588D9" w14:textId="77777777" w:rsidR="00864E7E" w:rsidRDefault="00864E7E" w:rsidP="00864E7E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 xml:space="preserve">                                                                                      </w:t>
      </w:r>
    </w:p>
    <w:p w14:paraId="7CAFC758" w14:textId="77777777" w:rsidR="00864E7E" w:rsidRDefault="00864E7E" w:rsidP="00864E7E">
      <w:pPr>
        <w:widowControl/>
        <w:tabs>
          <w:tab w:val="left" w:pos="426"/>
        </w:tabs>
        <w:spacing w:line="240" w:lineRule="auto"/>
        <w:ind w:left="10632"/>
        <w:jc w:val="left"/>
        <w:rPr>
          <w:rFonts w:ascii="Times New Roman" w:hAnsi="Times New Roman" w:cs="Times New Roman"/>
          <w:lang w:val="lt-LT"/>
        </w:rPr>
      </w:pPr>
    </w:p>
    <w:p w14:paraId="7E7F64FD" w14:textId="77777777" w:rsidR="00864E7E" w:rsidRDefault="00864E7E" w:rsidP="00864E7E">
      <w:pPr>
        <w:widowControl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SPECIALIEJI REKALAVIMAI ŠALUTINIŲ GYVŪNINIŲ PRODUKTŲ 1 IR (AR) 2 KATEGORIJOS PERDIRBIMO ĮMONĖMS</w:t>
      </w:r>
    </w:p>
    <w:p w14:paraId="78523F02" w14:textId="77777777" w:rsidR="00864E7E" w:rsidRDefault="00864E7E" w:rsidP="00864E7E">
      <w:pPr>
        <w:pStyle w:val="bodytext"/>
        <w:spacing w:before="0" w:after="0" w:line="240" w:lineRule="auto"/>
        <w:rPr>
          <w:b/>
          <w:bCs/>
          <w:sz w:val="20"/>
          <w:szCs w:val="20"/>
        </w:rPr>
      </w:pPr>
      <w:bookmarkStart w:id="0" w:name="_Hlk192155211"/>
      <w:bookmarkEnd w:id="0"/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310"/>
        <w:gridCol w:w="3097"/>
        <w:gridCol w:w="683"/>
        <w:gridCol w:w="704"/>
        <w:gridCol w:w="1278"/>
        <w:gridCol w:w="4678"/>
      </w:tblGrid>
      <w:tr w:rsidR="00864E7E" w14:paraId="3363C535" w14:textId="77777777" w:rsidTr="0013754F">
        <w:trPr>
          <w:trHeight w:val="11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2EBC" w14:textId="77777777" w:rsidR="00864E7E" w:rsidRDefault="00864E7E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9148" w14:textId="77777777" w:rsidR="00864E7E" w:rsidRDefault="00864E7E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265D" w14:textId="77777777" w:rsidR="00864E7E" w:rsidRDefault="00864E7E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81E5" w14:textId="77777777" w:rsidR="00864E7E" w:rsidRDefault="00864E7E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Atitikties įvertinimas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0C4E" w14:textId="77777777" w:rsidR="00864E7E" w:rsidRDefault="00864E7E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lt-LT" w:eastAsia="lt-LT"/>
              </w:rPr>
              <w:t>Reikalavimo aprašymas</w:t>
            </w:r>
          </w:p>
        </w:tc>
      </w:tr>
      <w:tr w:rsidR="00864E7E" w14:paraId="7F9B5B75" w14:textId="77777777" w:rsidTr="0013754F">
        <w:trPr>
          <w:trHeight w:val="11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56ED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7F51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0944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2A13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Taip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19D5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CED4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Netaikoma/ Neaktualu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7BAD" w14:textId="77777777" w:rsidR="00864E7E" w:rsidRDefault="00864E7E" w:rsidP="0013754F">
            <w:pPr>
              <w:tabs>
                <w:tab w:val="left" w:pos="5046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864E7E" w14:paraId="454A1ADF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9FE1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1E54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perdirbimo įmonėje atskirti švarusis ir nešvarusis sektoriai?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6113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hyperlink r:id="rId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IV priedo, I skyriaus, 1 skirsnio, 1 punkto, b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C03C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AFB0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D060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B9C2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864E7E" w14:paraId="42B9DDC1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BD38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EFDF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Ar </w:t>
            </w:r>
            <w:r>
              <w:rPr>
                <w:rFonts w:ascii="Times New Roman" w:hAnsi="Times New Roman" w:cs="Times New Roman"/>
                <w:lang w:val="lt-LT"/>
              </w:rPr>
              <w:t xml:space="preserve">perdirbimo įmonėje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patalpų paviršiai, dydis, išplanavimas leidžia užtikrinti, kad patalpas būtų lengva valyti ir dezinfekuoti?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38BF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(a)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BF18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CF0A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8BE0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D0AA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64E7E" w14:paraId="2E8BA837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0057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F188" w14:textId="77777777" w:rsidR="00864E7E" w:rsidRDefault="00864E7E" w:rsidP="0013754F">
            <w:pPr>
              <w:tabs>
                <w:tab w:val="left" w:pos="1680"/>
              </w:tabs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šalutiniai gyvūniniai produktai perdirbami kaip įmanoma greičiau?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C5DA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7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25 straipsnis 3 (b)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EEB2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0CD7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566A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1732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</w:tr>
      <w:tr w:rsidR="00864E7E" w14:paraId="3906ED2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11A9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4568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nuotekų, panaudoto vandens, kitų skysčių surinkimo sistemos veikia, nėra užsikimšę?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656C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(a)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B462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C667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3D1A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E690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64E7E" w14:paraId="096048D1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4FB4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985E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tinkama nuotekų surinkimo mechaninio valymo įranga?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F7CE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9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 skyriaus, 2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99BE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CF71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C51E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EA0A" w14:textId="77777777" w:rsidR="00864E7E" w:rsidRDefault="00864E7E" w:rsidP="0013754F">
            <w:pPr>
              <w:pStyle w:val="title-gr-seq-level-2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  <w:r>
              <w:rPr>
                <w:sz w:val="20"/>
                <w:szCs w:val="20"/>
              </w:rPr>
              <w:t>1 ir 2 kategorijos medžiagas perdirbimo gamyklose mechaninio valymo įrangą sudaro nuotekų gaudyklės arba juostinės grotos su angomis arba tinklai, kurių filtrų porų arba akučių skersmuo ne didesnis kaip 6 mm, statomi, baigiant nuotekų mechaninį valymą arba lygiavertės sistemos, kurios užtikrina, kad per jas pratekančių nuotekų kietųjų dalelių skersmuo būtų ne didesnis kaip 6 mm</w:t>
            </w:r>
          </w:p>
        </w:tc>
      </w:tr>
      <w:tr w:rsidR="00864E7E" w14:paraId="6287DFD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42D5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B51B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 užtikrinama, kad visa gyvūninės kilmės medžiaga, likusi mechaninio nuotekų valymo metu patalpose, yra surenkama ir sunaikinama?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A7A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10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 skyriaus, 2 skirsnio,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309B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6C52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609B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D37A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497F35C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F489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D7AD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yra įrengtos priemonės transporto priemonių ratams ir kitoms dalims atitinkamai dezinfekuoti, kai jos išvažiuoja iš perdirbimo gamyklos nešvariojo sektoriaus?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F29F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11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 skyriaus, 1 skirsnio,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9162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2B5A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F1DE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80C7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36231A9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B557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A978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Ar patalpos apsaugotos, kad į jas nepatektų kenkėjai (pvz.: vabzdžiai, graužikai ar paukščiai) ir šios apsaugos priemonės yra efektyvios?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126C" w14:textId="77777777" w:rsidR="00864E7E" w:rsidRDefault="00864E7E" w:rsidP="0013754F">
            <w:pPr>
              <w:pStyle w:val="Default"/>
              <w:jc w:val="both"/>
            </w:pPr>
            <w:hyperlink r:id="rId12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(c)</w:t>
            </w:r>
          </w:p>
          <w:p w14:paraId="68358B0E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F69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CB7E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6D46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01BA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64E7E" w14:paraId="333DFC0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8492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D432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Ar įranga ir įrengimai yra įmonės nustatytu dažnumu valomi ir (jei reikia) dezinfekuojami ir yra tai patvirtinantys įrašai?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3F14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(d)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D5F5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DCDC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E15A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1616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64E7E" w14:paraId="5E83E48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18B8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4C2C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įmonės zona, kurioje iškraunamos perdirbti atvežamos medžiagos, yra aiškiai atskirta nuo zonos, kurioje tie produktai perdirbami ir saugojami perdirbti produktai?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FB3F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IV priedo, I skyriaus, 1 skirsnio, 1 punkto, g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4966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99A9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A670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D973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64E7E" w14:paraId="311E4C64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AB8D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7C9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įrengtos atskiros patalpos 1 ir 2 kategorijos medžiagas perdirbančiai gamyklai?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E042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Style w:val="Hyperlink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IV priedo, I skyriaus, 3 skirsnis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46CD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0601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44E7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4B88" w14:textId="77777777" w:rsidR="00864E7E" w:rsidRDefault="00864E7E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Netaikoma, kai 1 kategorijos ir 2 kategorijos medžiagų mišinys būtų perdirbtas į 1 kategorijos medžiagą.</w:t>
            </w:r>
          </w:p>
        </w:tc>
      </w:tr>
      <w:tr w:rsidR="00864E7E" w14:paraId="22D91E93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63B4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E641" w14:textId="77777777" w:rsidR="00864E7E" w:rsidRDefault="00864E7E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3 kategorijos perdirbimo gamyklos patalpos yra kitoje vietoje ar atskirame pastate nei 1 arba 2 kategorijos perdirbimo gamyklos patalpos?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1ACF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IV priedo, I skyriaus, 4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772D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DC7B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1A26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F7E1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64E7E" w14:paraId="1CF488F3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AAD7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F836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perdirbimo įmonė fiziškai atskirta nuo skerdyklos ar kitos įmonės?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FE11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17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 skyriaus, 1 skirsnio, 1 punkto, a dalies, i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B2D5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7B82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F3CF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0DEA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55070A2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9BEE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E882" w14:textId="77777777" w:rsidR="00864E7E" w:rsidRDefault="00864E7E" w:rsidP="0013754F">
            <w:pPr>
              <w:tabs>
                <w:tab w:val="left" w:pos="1892"/>
              </w:tabs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išvengiama kryžminio užterštumo tvarkant 3 kategorijos medžiagas toje vietoje, kur tvarkomos 1 ar 2 kategorijos medžiagos?</w:t>
            </w:r>
          </w:p>
          <w:p w14:paraId="1ECC7E33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1C22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IV priedo, I skyriaus, 4 skirsnio,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145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165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C48D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2C4A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Kryžminio užterštumo išvengiama: </w:t>
            </w:r>
          </w:p>
          <w:p w14:paraId="7DDBEF44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dėl patalpų išdėstymo, visų pirma priėmimo patalpų, ir tinkamo tolesnio žaliavų tvarkymo; </w:t>
            </w:r>
          </w:p>
          <w:p w14:paraId="7977027B" w14:textId="77777777" w:rsidR="00864E7E" w:rsidRDefault="00864E7E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b) dėl perdirbimui naudojamos įrangos išdėstymo ir valdymo, įskaitant atskirų perdirbimo linijų išdėstymą ir valdymą arba valymo procedūras, kuriomis išvengiama bet kokio galimo pavojaus visuomenės ir gyvūnų sveikatai plitimo; ir </w:t>
            </w:r>
          </w:p>
          <w:p w14:paraId="65A70F69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 dėl galutinių produktų laikino saugojimo vietų išdėstymo ir valdymo</w:t>
            </w:r>
          </w:p>
        </w:tc>
      </w:tr>
      <w:tr w:rsidR="00864E7E" w14:paraId="03C2B7E1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7B27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44FC" w14:textId="77777777" w:rsidR="00864E7E" w:rsidRDefault="00864E7E" w:rsidP="0013754F">
            <w:pPr>
              <w:tabs>
                <w:tab w:val="left" w:pos="1680"/>
              </w:tabs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šalutiniai gyvūniniai produktai ir jų gaminiai yra apsaugoti nuo užteršimo?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4BC4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19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25 straipsnis 3 (a)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E57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84E1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8B32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E6BC" w14:textId="77777777" w:rsidR="00864E7E" w:rsidRDefault="00864E7E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</w:tr>
      <w:tr w:rsidR="00864E7E" w14:paraId="1AAAA401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F6B2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0134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į perdirbimo įmonę nepatenka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pašaliniai asmenys ir neleistini gyvūnai?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E901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20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 skyriaus, 1 skirsnio, </w:t>
            </w:r>
            <w:r>
              <w:rPr>
                <w:rFonts w:ascii="Times New Roman" w:hAnsi="Times New Roman" w:cs="Times New Roman"/>
                <w:iCs/>
                <w:lang w:val="lt-LT"/>
              </w:rPr>
              <w:lastRenderedPageBreak/>
              <w:t>1 punkto, a dalies, iv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F49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77C8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F957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5599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23E3442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708A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1E20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perdirbimo įmonėje yra šalutinių gyvūninių produktų apdorojimui reikalingas karštas vanduo ir garų gamybos sistemos?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69BF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21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 skyriaus, 1 skirsnio, 1 punkto, d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A019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C583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F1C2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7AC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2EEFB68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E190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3723" w14:textId="77777777" w:rsidR="00864E7E" w:rsidRDefault="00864E7E" w:rsidP="0013754F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>Ar perdirbimo įmonės n</w:t>
            </w:r>
            <w:r>
              <w:rPr>
                <w:rFonts w:ascii="Times New Roman" w:hAnsi="Times New Roman" w:cs="Times New Roman"/>
                <w:lang w:val="lt-LT"/>
              </w:rPr>
              <w:t>ešvariajame sektoriuje jei reikia yra šalutinių gyvūninių produktų smulkinimo įranga ir sutrintų produktų sudėjimo į perdirbimo agregatą įranga?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3425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22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 skyriaus, 1 skirsnio, 1 punkto, e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6827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6B8C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A95B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FD8B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5FB1753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A31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CFC8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Ar darbuotojai dėvi švarius, tinkamus darbui ir, </w:t>
            </w:r>
            <w:r>
              <w:rPr>
                <w:rFonts w:ascii="Times New Roman" w:hAnsi="Times New Roman" w:cs="Times New Roman"/>
                <w:lang w:val="lt-LT"/>
              </w:rPr>
              <w:t>kai būtina, apsauginius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drabužius?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1E85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23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25 straipsnis 2</w:t>
            </w:r>
          </w:p>
          <w:p w14:paraId="463CBF9D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C812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32CE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E1A1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9A56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864E7E" w14:paraId="138E0C21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6E25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48C6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Ar yra įrengta geros būklės ir švari darbuotojų persirengimo patalpa (vieta)?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AAC5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hyperlink r:id="rId24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(b)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3569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E1EC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0056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C8C5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864E7E" w14:paraId="413A5A93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0A4E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34A4" w14:textId="77777777" w:rsidR="00864E7E" w:rsidRDefault="00864E7E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Ar yra įrengtas geros būklės ir švarus darbuotojų tualetas?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5D67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hyperlink r:id="rId2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(b)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32DA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78C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4ADF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42DF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864E7E" w14:paraId="59D209A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9317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C375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Ar yra laikomasi sąlygų, užtikrinančių, kad nešvariajame sektoriuje dirbantys asmenys nepatektų į švarųjį sektorių nepasikeitę savo darbo drabužių ir avalynės arba jų neišdezinfekavę?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1AC5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2 (a)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EB68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C794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4797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48FD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4EA38B5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E2F8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30BD" w14:textId="77777777" w:rsidR="00864E7E" w:rsidRDefault="00864E7E" w:rsidP="0013754F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visuose perdirbimo įmonės naudojamuose įrengimuose kur reikia apdoroti termiškai yra matavimo įranga temperatūros kaitai bėgant laikui ir, jei reikia, pagal taikomą perdirbimo metodą, slėgiui matuoti?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AB08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27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 skyriaus, 1 skirsnio, 1 punkto, f dalies, i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5316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2C2A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116F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C8C9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43CF749F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EB5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8EFE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nustatytu dažnumu atliekami nustatytų perdirbimo parametrų matavimai, yra tai patvirtinantys įrašai?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55DA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3 (d)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7325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424F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B1CF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1542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Ūkio subjektai turi reguliariai (savo savikontrolės sistemoje nustatytu dažnumu) tikrinti  taikomus gamybos parametrus: temperatūrą, slėgį, laiką, dalelių dydį ir kt.</w:t>
            </w:r>
          </w:p>
        </w:tc>
      </w:tr>
      <w:tr w:rsidR="00864E7E" w14:paraId="02B7F51D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C3F8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AA27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visų matavimo prietaisų duomenys būtų nepertraukiamai registruojami, įmonė gali pateikti šių matavimo rezultatų registravimo įrašus?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88B0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29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 skyriaus, 1 skirsnio, 1 punkto, f dalies, ii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EB4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4645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8799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042D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1CD92F7D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06F1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283E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užtikrinama, kad saugos sistema, garantuojanti pakankamą kaitinimą,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veikia efektyviai?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9118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30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 skyriaus, 1 skirsnio, 1 punkto, f dalies, iii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EC89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FAB2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431C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7375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11E9035F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9C09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E601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perdirbimo sąlygoms nuolat stebėti naudojami tiksliai sukalibruoti manometrai?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7AF2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IV priedo, II skyriaus, 2 skirsnio, 1 punktas</w:t>
            </w:r>
          </w:p>
          <w:p w14:paraId="43C673CD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49CE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1E80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1D53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A058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34C33953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1E37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017E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manometrų kalibravimo datos yra registruojamos?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0C9F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32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IV priedo, II skyriaus, 2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2566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9AA4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3E39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F6D5" w14:textId="77777777" w:rsidR="00864E7E" w:rsidRDefault="00864E7E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864E7E" w14:paraId="0600676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E6DD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9197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įmonė gali pateikti dokumentus, įrodančius, kad iš virimo aparatų ištekėjusi medžiaga, yra tinkamai tvarkoma?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1783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IV priedo, II skyriaus, 2 skirsnio, 1 punktas</w:t>
            </w:r>
          </w:p>
          <w:p w14:paraId="1D27C546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C940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6648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9D50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F900" w14:textId="77777777" w:rsidR="00864E7E" w:rsidRDefault="00864E7E" w:rsidP="0013754F">
            <w:pPr>
              <w:pStyle w:val="title-gr-seq-level-2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  <w:r>
              <w:rPr>
                <w:sz w:val="20"/>
                <w:szCs w:val="20"/>
              </w:rPr>
              <w:t>Medžiaga turi būti pakartotinai termiškai apdorota arba surinkta ir perdirbta arba sunaikinta.</w:t>
            </w:r>
          </w:p>
        </w:tc>
      </w:tr>
      <w:tr w:rsidR="00864E7E" w14:paraId="26D32ED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355B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Style w:val="boldface"/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DAD3" w14:textId="77777777" w:rsidR="00864E7E" w:rsidRDefault="00864E7E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 xml:space="preserve">Ar perdirbimo gamykloje, perdirbančioje 1 ar 2 kategorijos medžiagas, šalutinių gyvūninių produktų gaminiai žymimi nuolatine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gliceroltriheptanoato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(GTH) žyma?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804E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V skyriaus, 1 punktas</w:t>
            </w:r>
          </w:p>
          <w:p w14:paraId="12C11E42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8F70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7DC5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F6B6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7F9B" w14:textId="77777777" w:rsidR="00864E7E" w:rsidRDefault="00864E7E" w:rsidP="0013754F">
            <w:pPr>
              <w:widowControl/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</w:tr>
      <w:tr w:rsidR="00864E7E" w14:paraId="341F79AA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CD6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FDD8" w14:textId="77777777" w:rsidR="00864E7E" w:rsidRDefault="00864E7E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stebima ir registruojama, kai GTH dedama į šalutinių gyvūninių produktų gaminius, kurie buvo prieš tai higieniškai apdoroti termiškai vidaus temperatūrai pasiekus bent 80 °C ir atitinkamai apsaugoti nuo pakartotinio užteršimo?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38D5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V skyriaus, 1 punkto, a dalis</w:t>
            </w:r>
          </w:p>
          <w:p w14:paraId="75F73CC3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E892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F9E4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52EE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49A8" w14:textId="77777777" w:rsidR="00864E7E" w:rsidRDefault="00864E7E" w:rsidP="0013754F">
            <w:pPr>
              <w:widowControl/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</w:tr>
      <w:tr w:rsidR="00864E7E" w14:paraId="63C6D0E8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3B1C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7E89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įmonė gali pateikti įrodymus, kad visi šalutinių gyvūninių produktų gaminiai homogeniškai pripildyti medžiaga esant ne mažesnei kaip 250 mg GTH 1 kilograme riebalų minimaliai koncentracijai?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0DB0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V skyriaus, 1 punkto, b dalis</w:t>
            </w:r>
          </w:p>
          <w:p w14:paraId="680FCA17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B430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7B7D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5363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C2DF" w14:textId="77777777" w:rsidR="00864E7E" w:rsidRDefault="00864E7E" w:rsidP="0013754F">
            <w:pPr>
              <w:widowControl/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</w:tr>
      <w:tr w:rsidR="00864E7E" w14:paraId="36FBDA0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43B3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07B0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perdirbimo gamyklos operatoriai turi veikiančią parametrų, kad reikiama minimali homogeninė GTH koncentracija yra pasiekta, stebėsenos ir registracijos sistemą?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6BA" w14:textId="77777777" w:rsidR="00864E7E" w:rsidRDefault="00864E7E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V skyriaus, 2 punktas</w:t>
            </w:r>
          </w:p>
          <w:p w14:paraId="020A949B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946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B0C3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FCD5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8F9" w14:textId="77777777" w:rsidR="00864E7E" w:rsidRDefault="00864E7E" w:rsidP="0013754F">
            <w:pPr>
              <w:widowControl/>
              <w:snapToGrid w:val="0"/>
              <w:spacing w:line="240" w:lineRule="auto"/>
              <w:rPr>
                <w:rFonts w:ascii="Times New Roman" w:hAnsi="Times New Roman" w:cs="Times New Roman"/>
                <w:iCs/>
                <w:lang w:val="lt-LT"/>
              </w:rPr>
            </w:pPr>
          </w:p>
        </w:tc>
      </w:tr>
      <w:tr w:rsidR="00864E7E" w14:paraId="62FC8F34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C92E" w14:textId="77777777" w:rsidR="00864E7E" w:rsidRDefault="00864E7E" w:rsidP="00864E7E">
            <w:pPr>
              <w:pStyle w:val="ListParagraph"/>
              <w:numPr>
                <w:ilvl w:val="0"/>
                <w:numId w:val="2"/>
              </w:numPr>
              <w:tabs>
                <w:tab w:val="left" w:pos="10260"/>
              </w:tabs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E1F9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tinkamai naudojami alternatyvių perdirbimo metodų perdirbimo standartai?</w:t>
            </w:r>
          </w:p>
          <w:p w14:paraId="5672D576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FF10" w14:textId="77777777" w:rsidR="00864E7E" w:rsidRDefault="00864E7E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38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Style w:val="Hyperlink"/>
                <w:rFonts w:ascii="Times New Roman" w:hAnsi="Times New Roman" w:cs="Times New Roman"/>
                <w:iCs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lt-LT"/>
              </w:rPr>
              <w:t>I priedo, 9 straipsnio, c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D192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8FD3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7DEC" w14:textId="77777777" w:rsidR="00864E7E" w:rsidRDefault="00864E7E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B2B4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Alternatyvūs perdirbimo metodai:</w:t>
            </w:r>
          </w:p>
          <w:p w14:paraId="462D99DA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A. Šarminės hidrolizės procesas;</w:t>
            </w:r>
          </w:p>
          <w:p w14:paraId="5E7420C7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B. Aukšto slėgio ir aukštos temperatūros hidrolizės procesas; </w:t>
            </w:r>
          </w:p>
          <w:p w14:paraId="281A514E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C. Biodujų aukšto slėgio hidrolizės procesas; </w:t>
            </w:r>
          </w:p>
          <w:p w14:paraId="14ADDD1A" w14:textId="77777777" w:rsidR="00864E7E" w:rsidRDefault="00864E7E" w:rsidP="0013754F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 xml:space="preserve">D. Biodyzelino gamybos procesas; </w:t>
            </w:r>
          </w:p>
          <w:p w14:paraId="6D07F806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Brookes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dujinimo procesas; </w:t>
            </w:r>
          </w:p>
          <w:p w14:paraId="65C2E641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F. Gyvūninių riebalų deginimo terminiame boileryje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 xml:space="preserve">procesas; </w:t>
            </w:r>
          </w:p>
          <w:p w14:paraId="010830FF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Termomechaninis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biodegalų gamybos procesas; </w:t>
            </w:r>
          </w:p>
          <w:p w14:paraId="324C50E6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I. Kiaulių ir naminių paukščių mėšlo apdorojimas kalkėmis; </w:t>
            </w:r>
          </w:p>
          <w:p w14:paraId="34C84C1E" w14:textId="77777777" w:rsidR="00864E7E" w:rsidRDefault="00864E7E" w:rsidP="0013754F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 xml:space="preserve">J. Daugiapakopis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katalitinis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procesas atsinaujinantiems degalams gaminti;</w:t>
            </w:r>
          </w:p>
          <w:p w14:paraId="031CE199" w14:textId="77777777" w:rsidR="00864E7E" w:rsidRDefault="00864E7E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K. Žuvų žaliavų silosavimas; </w:t>
            </w:r>
          </w:p>
          <w:p w14:paraId="06075961" w14:textId="77777777" w:rsidR="00864E7E" w:rsidRDefault="00864E7E" w:rsidP="0013754F">
            <w:pPr>
              <w:pStyle w:val="title-gr-seq-level-2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L. Daugiapakopis </w:t>
            </w:r>
            <w:proofErr w:type="spellStart"/>
            <w:r>
              <w:rPr>
                <w:sz w:val="20"/>
                <w:szCs w:val="20"/>
              </w:rPr>
              <w:t>katalitinis</w:t>
            </w:r>
            <w:proofErr w:type="spellEnd"/>
            <w:r>
              <w:rPr>
                <w:sz w:val="20"/>
                <w:szCs w:val="20"/>
              </w:rPr>
              <w:t xml:space="preserve"> apdorojimas vandeniu degalams iš atsinaujinančiųjų išteklių gaminti.</w:t>
            </w:r>
          </w:p>
        </w:tc>
      </w:tr>
    </w:tbl>
    <w:p w14:paraId="0E0EB67B" w14:textId="77777777" w:rsidR="00864E7E" w:rsidRDefault="00864E7E" w:rsidP="00864E7E">
      <w:pPr>
        <w:pStyle w:val="bodytext"/>
        <w:spacing w:before="0" w:after="0" w:line="240" w:lineRule="auto"/>
        <w:rPr>
          <w:rStyle w:val="boldface"/>
          <w:sz w:val="20"/>
          <w:szCs w:val="20"/>
        </w:rPr>
      </w:pPr>
    </w:p>
    <w:p w14:paraId="657B518A" w14:textId="77777777" w:rsidR="00864E7E" w:rsidRDefault="00864E7E" w:rsidP="00864E7E">
      <w:pPr>
        <w:pStyle w:val="ListParagraph"/>
        <w:numPr>
          <w:ilvl w:val="0"/>
          <w:numId w:val="1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 m. spalio 21 d. Europos Parlamento ir Tarybos reglamentas (EB) Nr. 1069/2009, kuriuo nustatomos žmonėms vartoti neskirtų šalutinių gyvūninių produktų ir jų gaminių sveikumo taisyklės ir panaikinamas reglamentas (EB) Nr. 1774/2002.</w:t>
      </w:r>
    </w:p>
    <w:p w14:paraId="46F41890" w14:textId="77777777" w:rsidR="00864E7E" w:rsidRDefault="00864E7E" w:rsidP="00864E7E">
      <w:pPr>
        <w:pStyle w:val="ListParagraph"/>
        <w:spacing w:line="240" w:lineRule="auto"/>
      </w:pPr>
      <w:hyperlink r:id="rId39">
        <w:r>
          <w:rPr>
            <w:rStyle w:val="Hyperlink"/>
            <w:rFonts w:ascii="Times New Roman" w:hAnsi="Times New Roman" w:cs="Times New Roman"/>
          </w:rPr>
          <w:t>https://eur-lex.europa.eu/legal-content/EN/TXT/?uri=CELEX%3A02009R1069-20191214&amp;qid=1693298318661</w:t>
        </w:r>
      </w:hyperlink>
      <w:r>
        <w:rPr>
          <w:rFonts w:ascii="Times New Roman" w:hAnsi="Times New Roman" w:cs="Times New Roman"/>
        </w:rPr>
        <w:t xml:space="preserve"> </w:t>
      </w:r>
    </w:p>
    <w:p w14:paraId="1D5F28B4" w14:textId="77777777" w:rsidR="00864E7E" w:rsidRDefault="00864E7E" w:rsidP="00864E7E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66A93371" w14:textId="77777777" w:rsidR="00864E7E" w:rsidRDefault="00864E7E" w:rsidP="00864E7E">
      <w:pPr>
        <w:pStyle w:val="ListParagraph"/>
        <w:numPr>
          <w:ilvl w:val="0"/>
          <w:numId w:val="1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m. vasario 25 d. Komisijos reglamento (ES) Nr. 142/2011, kuriuo įgyvendinami Europos Parlamento ir Tarybos reglamentas (EB) Nr. 1069/2009, kuriuo nustatomos žmonėms vartoti neskirtų šalutinių gyvūninių produktų ir jų gaminių sveikumo taisyklės, ir Tarybos direktyva 97/78/EB dėl tam tikrų mėginių ir priemonių, kuriems netaikomi veterinariniai tikrinimai pasienyje pagal tą direktyvą.</w:t>
      </w:r>
    </w:p>
    <w:p w14:paraId="01174B52" w14:textId="242C93F3" w:rsidR="008C79E6" w:rsidRDefault="00864E7E" w:rsidP="00864E7E">
      <w:pPr>
        <w:pStyle w:val="ListParagraph"/>
        <w:spacing w:line="240" w:lineRule="auto"/>
      </w:pPr>
      <w:hyperlink r:id="rId40">
        <w:r>
          <w:rPr>
            <w:rStyle w:val="Hyperlink"/>
            <w:rFonts w:ascii="Times New Roman" w:hAnsi="Times New Roman" w:cs="Times New Roman"/>
          </w:rPr>
          <w:t>https://eur-lex.europa.eu/legal-content/EN/TXT/?uri=CELEX%3A02011R0142-20220417&amp;qid=1695124207395</w:t>
        </w:r>
      </w:hyperlink>
      <w:r>
        <w:rPr>
          <w:rFonts w:ascii="Times New Roman" w:hAnsi="Times New Roman" w:cs="Times New Roman"/>
        </w:rPr>
        <w:t xml:space="preserve"> </w:t>
      </w:r>
    </w:p>
    <w:sectPr w:rsidR="008C79E6" w:rsidSect="00864E7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37D73"/>
    <w:multiLevelType w:val="multilevel"/>
    <w:tmpl w:val="09AA2C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5BC6F1E"/>
    <w:multiLevelType w:val="multilevel"/>
    <w:tmpl w:val="250481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0155073">
    <w:abstractNumId w:val="1"/>
  </w:num>
  <w:num w:numId="2" w16cid:durableId="65379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7E"/>
    <w:rsid w:val="00092DA5"/>
    <w:rsid w:val="00777BB8"/>
    <w:rsid w:val="00864E7E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88D0"/>
  <w15:chartTrackingRefBased/>
  <w15:docId w15:val="{7EC3C2CB-D05C-4B5B-991D-11185D5E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E7E"/>
    <w:pPr>
      <w:widowControl w:val="0"/>
      <w:suppressAutoHyphens/>
      <w:spacing w:after="0" w:line="360" w:lineRule="atLeast"/>
      <w:jc w:val="both"/>
      <w:textAlignment w:val="baseline"/>
    </w:pPr>
    <w:rPr>
      <w:rFonts w:ascii="Univers" w:eastAsia="Aptos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E7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64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E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64E7E"/>
    <w:rPr>
      <w:color w:val="0000FF"/>
      <w:u w:val="single"/>
    </w:rPr>
  </w:style>
  <w:style w:type="character" w:customStyle="1" w:styleId="boldface">
    <w:name w:val="boldface"/>
    <w:qFormat/>
    <w:rsid w:val="00864E7E"/>
  </w:style>
  <w:style w:type="paragraph" w:customStyle="1" w:styleId="bodytext">
    <w:name w:val="bodytext"/>
    <w:basedOn w:val="Normal"/>
    <w:qFormat/>
    <w:rsid w:val="00864E7E"/>
    <w:pPr>
      <w:spacing w:before="100" w:after="100"/>
    </w:pPr>
    <w:rPr>
      <w:rFonts w:ascii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qFormat/>
    <w:rsid w:val="00864E7E"/>
    <w:pPr>
      <w:suppressAutoHyphens/>
      <w:autoSpaceDE w:val="0"/>
      <w:spacing w:after="0" w:line="240" w:lineRule="auto"/>
    </w:pPr>
    <w:rPr>
      <w:rFonts w:ascii="Aptos" w:eastAsia="Calibri" w:hAnsi="Aptos" w:cs="Aptos"/>
      <w:color w:val="000000"/>
      <w:kern w:val="0"/>
      <w:sz w:val="24"/>
      <w:szCs w:val="24"/>
      <w:lang w:eastAsia="zh-CN"/>
      <w14:ligatures w14:val="none"/>
    </w:rPr>
  </w:style>
  <w:style w:type="paragraph" w:customStyle="1" w:styleId="title-gr-seq-level-2">
    <w:name w:val="title-gr-seq-level-2"/>
    <w:basedOn w:val="Normal"/>
    <w:qFormat/>
    <w:rsid w:val="00864E7E"/>
    <w:pPr>
      <w:widowControl/>
      <w:spacing w:before="100" w:after="100" w:line="240" w:lineRule="auto"/>
      <w:jc w:val="left"/>
      <w:textAlignment w:val="auto"/>
    </w:pPr>
    <w:rPr>
      <w:rFonts w:ascii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09R1069-20191214&amp;qid=1693298318661" TargetMode="External"/><Relationship Id="rId13" Type="http://schemas.openxmlformats.org/officeDocument/2006/relationships/hyperlink" Target="https://eur-lex.europa.eu/legal-content/EN/TXT/?uri=CELEX%3A02009R1069-20191214&amp;qid=1693298318661" TargetMode="External"/><Relationship Id="rId18" Type="http://schemas.openxmlformats.org/officeDocument/2006/relationships/hyperlink" Target="https://eur-lex.europa.eu/legal-content/EN/TXT/?uri=CELEX%3A02011R0142-20220417&amp;qid=1695124207395" TargetMode="External"/><Relationship Id="rId26" Type="http://schemas.openxmlformats.org/officeDocument/2006/relationships/hyperlink" Target="https://eur-lex.europa.eu/legal-content/EN/TXT/?uri=CELEX%3A02009R1069-20191214&amp;qid=1693298318661" TargetMode="External"/><Relationship Id="rId39" Type="http://schemas.openxmlformats.org/officeDocument/2006/relationships/hyperlink" Target="https://eur-lex.europa.eu/legal-content/EN/TXT/?uri=CELEX%3A02009R1069-20191214&amp;qid=16932983186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N/TXT/?uri=CELEX%3A02011R0142-20220417&amp;qid=1695124207395" TargetMode="External"/><Relationship Id="rId34" Type="http://schemas.openxmlformats.org/officeDocument/2006/relationships/hyperlink" Target="https://eur-lex.europa.eu/legal-content/EN/TXT/?uri=CELEX%3A02011R0142-20220417&amp;qid=169512420739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ur-lex.europa.eu/legal-content/EN/TXT/?uri=CELEX%3A02009R1069-20191214&amp;qid=1693298318661" TargetMode="External"/><Relationship Id="rId12" Type="http://schemas.openxmlformats.org/officeDocument/2006/relationships/hyperlink" Target="https://eur-lex.europa.eu/legal-content/EN/TXT/?uri=CELEX%3A02009R1069-20191214&amp;qid=1693298318661" TargetMode="External"/><Relationship Id="rId17" Type="http://schemas.openxmlformats.org/officeDocument/2006/relationships/hyperlink" Target="https://eur-lex.europa.eu/legal-content/EN/TXT/?uri=CELEX%3A02011R0142-20220417&amp;qid=1695124207395" TargetMode="External"/><Relationship Id="rId25" Type="http://schemas.openxmlformats.org/officeDocument/2006/relationships/hyperlink" Target="https://eur-lex.europa.eu/legal-content/EN/TXT/?uri=CELEX%3A02009R1069-20191214&amp;qid=1693298318661" TargetMode="External"/><Relationship Id="rId33" Type="http://schemas.openxmlformats.org/officeDocument/2006/relationships/hyperlink" Target="https://eur-lex.europa.eu/legal-content/EN/TXT/?uri=CELEX%3A02011R0142-20220417&amp;qid=1695124207395" TargetMode="External"/><Relationship Id="rId38" Type="http://schemas.openxmlformats.org/officeDocument/2006/relationships/hyperlink" Target="https://eur-lex.europa.eu/legal-content/EN/TXT/?uri=CELEX%3A02011R0142-20220417&amp;qid=1695124207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02011R0142-20220417&amp;qid=1695124207395" TargetMode="External"/><Relationship Id="rId20" Type="http://schemas.openxmlformats.org/officeDocument/2006/relationships/hyperlink" Target="https://eur-lex.europa.eu/legal-content/EN/TXT/?uri=CELEX%3A02011R0142-20220417&amp;qid=1695124207395" TargetMode="External"/><Relationship Id="rId29" Type="http://schemas.openxmlformats.org/officeDocument/2006/relationships/hyperlink" Target="https://eur-lex.europa.eu/legal-content/EN/TXT/?uri=CELEX%3A02011R0142-20220417&amp;qid=169512420739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09R1069-20191214&amp;qid=1693298318661" TargetMode="External"/><Relationship Id="rId11" Type="http://schemas.openxmlformats.org/officeDocument/2006/relationships/hyperlink" Target="https://eur-lex.europa.eu/legal-content/EN/TXT/?uri=CELEX%3A02011R0142-20220417&amp;qid=1695124207395" TargetMode="External"/><Relationship Id="rId24" Type="http://schemas.openxmlformats.org/officeDocument/2006/relationships/hyperlink" Target="https://eur-lex.europa.eu/legal-content/EN/TXT/?uri=CELEX%3A02009R1069-20191214&amp;qid=1693298318661" TargetMode="External"/><Relationship Id="rId32" Type="http://schemas.openxmlformats.org/officeDocument/2006/relationships/hyperlink" Target="https://eur-lex.europa.eu/legal-content/EN/TXT/?uri=CELEX%3A02011R0142-20220417&amp;qid=1695124207395" TargetMode="External"/><Relationship Id="rId37" Type="http://schemas.openxmlformats.org/officeDocument/2006/relationships/hyperlink" Target="https://eur-lex.europa.eu/legal-content/EN/TXT/?uri=CELEX%3A02011R0142-20220417&amp;qid=1695124207395" TargetMode="External"/><Relationship Id="rId40" Type="http://schemas.openxmlformats.org/officeDocument/2006/relationships/hyperlink" Target="https://eur-lex.europa.eu/legal-content/EN/TXT/?uri=CELEX%3A02011R0142-20220417&amp;qid=1695124207395" TargetMode="External"/><Relationship Id="rId5" Type="http://schemas.openxmlformats.org/officeDocument/2006/relationships/hyperlink" Target="https://eur-lex.europa.eu/legal-content/EN/TXT/?uri=CELEX%3A02011R0142-20220417&amp;qid=1695124207395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23" Type="http://schemas.openxmlformats.org/officeDocument/2006/relationships/hyperlink" Target="https://eur-lex.europa.eu/legal-content/EN/TXT/?uri=CELEX%3A02009R1069-20191214&amp;qid=1693298318661" TargetMode="External"/><Relationship Id="rId28" Type="http://schemas.openxmlformats.org/officeDocument/2006/relationships/hyperlink" Target="https://eur-lex.europa.eu/legal-content/EN/TXT/?uri=CELEX%3A02009R1069-20191214&amp;qid=1693298318661" TargetMode="External"/><Relationship Id="rId36" Type="http://schemas.openxmlformats.org/officeDocument/2006/relationships/hyperlink" Target="https://eur-lex.europa.eu/legal-content/EN/TXT/?uri=CELEX%3A02011R0142-20220417&amp;qid=1695124207395" TargetMode="External"/><Relationship Id="rId10" Type="http://schemas.openxmlformats.org/officeDocument/2006/relationships/hyperlink" Target="https://eur-lex.europa.eu/legal-content/EN/TXT/?uri=CELEX%3A02011R0142-20220417&amp;qid=1695124207395" TargetMode="External"/><Relationship Id="rId19" Type="http://schemas.openxmlformats.org/officeDocument/2006/relationships/hyperlink" Target="https://eur-lex.europa.eu/legal-content/EN/TXT/?uri=CELEX%3A02009R1069-20191214&amp;qid=1693298318661" TargetMode="External"/><Relationship Id="rId31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Relationship Id="rId22" Type="http://schemas.openxmlformats.org/officeDocument/2006/relationships/hyperlink" Target="https://eur-lex.europa.eu/legal-content/EN/TXT/?uri=CELEX%3A02011R0142-20220417&amp;qid=1695124207395" TargetMode="External"/><Relationship Id="rId27" Type="http://schemas.openxmlformats.org/officeDocument/2006/relationships/hyperlink" Target="https://eur-lex.europa.eu/legal-content/EN/TXT/?uri=CELEX%3A02011R0142-20220417&amp;qid=1695124207395" TargetMode="External"/><Relationship Id="rId30" Type="http://schemas.openxmlformats.org/officeDocument/2006/relationships/hyperlink" Target="https://eur-lex.europa.eu/legal-content/EN/TXT/?uri=CELEX%3A02011R0142-20220417&amp;qid=1695124207395" TargetMode="External"/><Relationship Id="rId35" Type="http://schemas.openxmlformats.org/officeDocument/2006/relationships/hyperlink" Target="https://eur-lex.europa.eu/legal-content/EN/TXT/?uri=CELEX%3A02011R0142-20220417&amp;qid=169512420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8288</Words>
  <Characters>4725</Characters>
  <Application>Microsoft Office Word</Application>
  <DocSecurity>0</DocSecurity>
  <Lines>39</Lines>
  <Paragraphs>25</Paragraphs>
  <ScaleCrop>false</ScaleCrop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2025-04-29T05:48:00Z</dcterms:created>
  <dcterms:modified xsi:type="dcterms:W3CDTF">2025-04-29T05:49:00Z</dcterms:modified>
</cp:coreProperties>
</file>