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AE44" w14:textId="77777777" w:rsidR="006D012D" w:rsidRDefault="006D012D" w:rsidP="006D012D">
      <w:pPr>
        <w:shd w:val="clear" w:color="auto" w:fill="FFFFFF"/>
        <w:spacing w:line="240" w:lineRule="auto"/>
        <w:jc w:val="right"/>
      </w:pPr>
      <w:r>
        <w:rPr>
          <w:rFonts w:ascii="Times New Roman" w:eastAsia="Times New Roman" w:hAnsi="Times New Roman" w:cs="Times New Roman"/>
          <w:b/>
          <w:lang w:val="lt-LT"/>
        </w:rPr>
        <w:t xml:space="preserve">  </w:t>
      </w:r>
      <w:r>
        <w:rPr>
          <w:rFonts w:ascii="Times New Roman" w:hAnsi="Times New Roman" w:cs="Times New Roman"/>
          <w:lang w:val="lt-LT"/>
        </w:rPr>
        <w:t xml:space="preserve">Kokybės sistemos programos KT-2-4-11 </w:t>
      </w:r>
    </w:p>
    <w:p w14:paraId="79792304" w14:textId="77777777" w:rsidR="006D012D" w:rsidRDefault="006D012D" w:rsidP="006D012D">
      <w:pPr>
        <w:shd w:val="clear" w:color="auto" w:fill="FFFFFF"/>
        <w:spacing w:line="240" w:lineRule="auto"/>
        <w:jc w:val="right"/>
      </w:pPr>
      <w:r>
        <w:rPr>
          <w:rFonts w:ascii="Times New Roman" w:hAnsi="Times New Roman" w:cs="Times New Roman"/>
          <w:lang w:val="lt-LT"/>
        </w:rPr>
        <w:t>„</w:t>
      </w:r>
      <w:r>
        <w:rPr>
          <w:rFonts w:ascii="Times New Roman" w:hAnsi="Times New Roman" w:cs="Times New Roman"/>
          <w:lang w:val="lt-LT" w:eastAsia="en-US"/>
        </w:rPr>
        <w:t>Šalutinių gyvūninių produktų tvarkymo įmonių valstybinė veterinarinė kontrolė</w:t>
      </w:r>
      <w:r>
        <w:rPr>
          <w:rFonts w:ascii="Times New Roman" w:hAnsi="Times New Roman" w:cs="Times New Roman"/>
          <w:lang w:val="lt-LT"/>
        </w:rPr>
        <w:t xml:space="preserve">“ </w:t>
      </w:r>
    </w:p>
    <w:p w14:paraId="37415920" w14:textId="77777777" w:rsidR="006D012D" w:rsidRDefault="006D012D" w:rsidP="006D012D">
      <w:pPr>
        <w:shd w:val="clear" w:color="auto" w:fill="FFFFFF"/>
        <w:spacing w:line="240" w:lineRule="auto"/>
        <w:jc w:val="right"/>
        <w:rPr>
          <w:rFonts w:ascii="Times New Roman" w:eastAsia="Arial Unicode MS" w:hAnsi="Times New Roman" w:cs="Times New Roman"/>
          <w:b/>
          <w:lang w:val="lt-LT"/>
        </w:rPr>
      </w:pPr>
      <w:r>
        <w:rPr>
          <w:rFonts w:ascii="Times New Roman" w:hAnsi="Times New Roman" w:cs="Times New Roman"/>
          <w:lang w:val="lt-LT"/>
        </w:rPr>
        <w:t>12 priedas</w:t>
      </w:r>
    </w:p>
    <w:p w14:paraId="6104E016" w14:textId="77777777" w:rsidR="006D012D" w:rsidRDefault="006D012D" w:rsidP="006D012D">
      <w:pPr>
        <w:shd w:val="clear" w:color="auto" w:fill="FFFFFF"/>
        <w:spacing w:line="240" w:lineRule="auto"/>
        <w:jc w:val="right"/>
        <w:rPr>
          <w:rFonts w:ascii="Times New Roman" w:hAnsi="Times New Roman" w:cs="Times New Roman"/>
          <w:lang w:val="lt-LT"/>
        </w:rPr>
      </w:pPr>
      <w:r>
        <w:rPr>
          <w:rFonts w:ascii="Times New Roman" w:eastAsia="Times New Roman" w:hAnsi="Times New Roman" w:cs="Times New Roman"/>
          <w:b/>
          <w:lang w:val="lt-LT"/>
        </w:rPr>
        <w:t xml:space="preserve">                                                                                      </w:t>
      </w:r>
    </w:p>
    <w:p w14:paraId="1315A66E" w14:textId="77777777" w:rsidR="006D012D" w:rsidRDefault="006D012D" w:rsidP="006D012D">
      <w:pPr>
        <w:widowControl/>
        <w:tabs>
          <w:tab w:val="left" w:pos="426"/>
        </w:tabs>
        <w:spacing w:line="240" w:lineRule="auto"/>
        <w:ind w:left="10632"/>
        <w:jc w:val="left"/>
        <w:rPr>
          <w:rFonts w:ascii="Times New Roman" w:hAnsi="Times New Roman" w:cs="Times New Roman"/>
          <w:lang w:val="lt-LT"/>
        </w:rPr>
      </w:pPr>
    </w:p>
    <w:p w14:paraId="409E75CB" w14:textId="77777777" w:rsidR="006D012D" w:rsidRDefault="006D012D" w:rsidP="006D012D">
      <w:pPr>
        <w:pStyle w:val="bodytext"/>
        <w:spacing w:before="0" w:after="0" w:line="240" w:lineRule="auto"/>
        <w:jc w:val="center"/>
        <w:rPr>
          <w:b/>
          <w:bCs/>
          <w:sz w:val="20"/>
          <w:szCs w:val="20"/>
          <w:lang w:eastAsia="nl-NL"/>
        </w:rPr>
      </w:pPr>
      <w:r>
        <w:rPr>
          <w:b/>
          <w:bCs/>
          <w:sz w:val="20"/>
          <w:szCs w:val="20"/>
          <w:lang w:eastAsia="nl-NL"/>
        </w:rPr>
        <w:t>SPECIALIEJI REIKALAVIMAI ŠALUTINIŲ GYVŪNINIŲ PRODUKTŲ IR (AR) JŲ GAMINIŲ TVARKYMUI NE PAŠARO GRANDINĖS ĮMONĖJE</w:t>
      </w:r>
    </w:p>
    <w:p w14:paraId="1A19D08E" w14:textId="77777777" w:rsidR="006D012D" w:rsidRDefault="006D012D" w:rsidP="006D012D">
      <w:pPr>
        <w:pStyle w:val="bodytext"/>
        <w:spacing w:before="0" w:after="0" w:line="240" w:lineRule="auto"/>
        <w:rPr>
          <w:b/>
          <w:bCs/>
          <w:sz w:val="20"/>
          <w:szCs w:val="20"/>
          <w:lang w:eastAsia="nl-NL"/>
        </w:rPr>
      </w:pPr>
    </w:p>
    <w:tbl>
      <w:tblPr>
        <w:tblW w:w="14601" w:type="dxa"/>
        <w:tblInd w:w="-572" w:type="dxa"/>
        <w:tblLayout w:type="fixed"/>
        <w:tblLook w:val="04A0" w:firstRow="1" w:lastRow="0" w:firstColumn="1" w:lastColumn="0" w:noHBand="0" w:noVBand="1"/>
      </w:tblPr>
      <w:tblGrid>
        <w:gridCol w:w="851"/>
        <w:gridCol w:w="3310"/>
        <w:gridCol w:w="3097"/>
        <w:gridCol w:w="683"/>
        <w:gridCol w:w="704"/>
        <w:gridCol w:w="1278"/>
        <w:gridCol w:w="4678"/>
      </w:tblGrid>
      <w:tr w:rsidR="006D012D" w14:paraId="55FFC1EB" w14:textId="77777777" w:rsidTr="0013754F">
        <w:trPr>
          <w:trHeight w:val="1112"/>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B6288F6" w14:textId="77777777" w:rsidR="006D012D" w:rsidRDefault="006D012D" w:rsidP="0013754F">
            <w:pPr>
              <w:spacing w:line="240" w:lineRule="auto"/>
              <w:jc w:val="center"/>
              <w:rPr>
                <w:rFonts w:ascii="Times New Roman" w:hAnsi="Times New Roman" w:cs="Times New Roman"/>
                <w:b/>
                <w:lang w:val="lt-LT"/>
              </w:rPr>
            </w:pPr>
            <w:r>
              <w:rPr>
                <w:rFonts w:ascii="Times New Roman" w:hAnsi="Times New Roman" w:cs="Times New Roman"/>
                <w:b/>
                <w:lang w:val="lt-LT"/>
              </w:rPr>
              <w:t>Eil. Nr.</w:t>
            </w:r>
          </w:p>
        </w:tc>
        <w:tc>
          <w:tcPr>
            <w:tcW w:w="3310" w:type="dxa"/>
            <w:vMerge w:val="restart"/>
            <w:tcBorders>
              <w:top w:val="single" w:sz="4" w:space="0" w:color="000000"/>
              <w:left w:val="single" w:sz="4" w:space="0" w:color="000000"/>
              <w:bottom w:val="single" w:sz="4" w:space="0" w:color="000000"/>
              <w:right w:val="single" w:sz="4" w:space="0" w:color="000000"/>
            </w:tcBorders>
            <w:vAlign w:val="center"/>
          </w:tcPr>
          <w:p w14:paraId="3E2D3A1B" w14:textId="77777777" w:rsidR="006D012D" w:rsidRDefault="006D012D" w:rsidP="0013754F">
            <w:pPr>
              <w:spacing w:line="240" w:lineRule="auto"/>
              <w:jc w:val="center"/>
              <w:rPr>
                <w:rFonts w:ascii="Times New Roman" w:hAnsi="Times New Roman" w:cs="Times New Roman"/>
                <w:b/>
                <w:lang w:val="lt-LT"/>
              </w:rPr>
            </w:pPr>
            <w:r>
              <w:rPr>
                <w:rFonts w:ascii="Times New Roman" w:hAnsi="Times New Roman" w:cs="Times New Roman"/>
                <w:b/>
                <w:lang w:val="lt-LT"/>
              </w:rPr>
              <w:t>Reikalavimas</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14:paraId="681AF7A5" w14:textId="77777777" w:rsidR="006D012D" w:rsidRDefault="006D012D" w:rsidP="0013754F">
            <w:pPr>
              <w:spacing w:line="240" w:lineRule="auto"/>
              <w:jc w:val="center"/>
              <w:rPr>
                <w:rFonts w:ascii="Times New Roman" w:hAnsi="Times New Roman" w:cs="Times New Roman"/>
                <w:b/>
                <w:lang w:val="lt-LT"/>
              </w:rPr>
            </w:pPr>
            <w:r>
              <w:rPr>
                <w:rFonts w:ascii="Times New Roman" w:hAnsi="Times New Roman" w:cs="Times New Roman"/>
                <w:b/>
                <w:bCs/>
                <w:lang w:val="lt-LT"/>
              </w:rPr>
              <w:t>Teisės akto straipsnis, dalis, punktas</w:t>
            </w:r>
          </w:p>
        </w:tc>
        <w:tc>
          <w:tcPr>
            <w:tcW w:w="2665" w:type="dxa"/>
            <w:gridSpan w:val="3"/>
            <w:tcBorders>
              <w:top w:val="single" w:sz="4" w:space="0" w:color="000000"/>
              <w:left w:val="single" w:sz="4" w:space="0" w:color="000000"/>
              <w:bottom w:val="single" w:sz="4" w:space="0" w:color="000000"/>
              <w:right w:val="single" w:sz="4" w:space="0" w:color="000000"/>
            </w:tcBorders>
            <w:vAlign w:val="center"/>
          </w:tcPr>
          <w:p w14:paraId="6D9B6CF9" w14:textId="77777777" w:rsidR="006D012D" w:rsidRDefault="006D012D" w:rsidP="0013754F">
            <w:pPr>
              <w:spacing w:line="240" w:lineRule="auto"/>
              <w:jc w:val="center"/>
              <w:rPr>
                <w:rFonts w:ascii="Times New Roman" w:hAnsi="Times New Roman" w:cs="Times New Roman"/>
                <w:b/>
                <w:lang w:val="lt-LT"/>
              </w:rPr>
            </w:pPr>
            <w:r>
              <w:rPr>
                <w:rFonts w:ascii="Times New Roman" w:hAnsi="Times New Roman" w:cs="Times New Roman"/>
                <w:b/>
                <w:bCs/>
                <w:lang w:val="lt-LT"/>
              </w:rPr>
              <w:t>Atitikties įvertinimas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7EB08C35" w14:textId="77777777" w:rsidR="006D012D" w:rsidRDefault="006D012D" w:rsidP="0013754F">
            <w:pPr>
              <w:spacing w:line="240" w:lineRule="auto"/>
              <w:jc w:val="center"/>
              <w:rPr>
                <w:rFonts w:ascii="Times New Roman" w:hAnsi="Times New Roman" w:cs="Times New Roman"/>
                <w:lang w:val="lt-LT"/>
              </w:rPr>
            </w:pPr>
            <w:r>
              <w:rPr>
                <w:rFonts w:ascii="Times New Roman" w:hAnsi="Times New Roman" w:cs="Times New Roman"/>
                <w:b/>
                <w:bCs/>
                <w:spacing w:val="-2"/>
                <w:lang w:val="lt-LT" w:eastAsia="lt-LT"/>
              </w:rPr>
              <w:t>Reikalavimo aprašymas</w:t>
            </w:r>
          </w:p>
        </w:tc>
      </w:tr>
      <w:tr w:rsidR="006D012D" w14:paraId="1BC0FA6F" w14:textId="77777777" w:rsidTr="0013754F">
        <w:trPr>
          <w:trHeight w:val="1112"/>
        </w:trPr>
        <w:tc>
          <w:tcPr>
            <w:tcW w:w="851" w:type="dxa"/>
            <w:vMerge/>
            <w:tcBorders>
              <w:top w:val="single" w:sz="4" w:space="0" w:color="000000"/>
              <w:left w:val="single" w:sz="4" w:space="0" w:color="000000"/>
              <w:bottom w:val="single" w:sz="4" w:space="0" w:color="000000"/>
              <w:right w:val="single" w:sz="4" w:space="0" w:color="000000"/>
            </w:tcBorders>
            <w:vAlign w:val="center"/>
          </w:tcPr>
          <w:p w14:paraId="4FBF272B" w14:textId="77777777" w:rsidR="006D012D" w:rsidRDefault="006D012D" w:rsidP="0013754F">
            <w:pPr>
              <w:snapToGrid w:val="0"/>
              <w:spacing w:line="240" w:lineRule="auto"/>
              <w:rPr>
                <w:rFonts w:ascii="Times New Roman" w:hAnsi="Times New Roman" w:cs="Times New Roman"/>
                <w:b/>
                <w:lang w:val="lt-LT"/>
              </w:rPr>
            </w:pPr>
          </w:p>
        </w:tc>
        <w:tc>
          <w:tcPr>
            <w:tcW w:w="3310" w:type="dxa"/>
            <w:vMerge/>
            <w:tcBorders>
              <w:top w:val="single" w:sz="4" w:space="0" w:color="000000"/>
              <w:left w:val="single" w:sz="4" w:space="0" w:color="000000"/>
              <w:bottom w:val="single" w:sz="4" w:space="0" w:color="000000"/>
              <w:right w:val="single" w:sz="4" w:space="0" w:color="000000"/>
            </w:tcBorders>
            <w:vAlign w:val="center"/>
          </w:tcPr>
          <w:p w14:paraId="734E6B71" w14:textId="77777777" w:rsidR="006D012D" w:rsidRDefault="006D012D" w:rsidP="0013754F">
            <w:pPr>
              <w:snapToGrid w:val="0"/>
              <w:spacing w:line="240" w:lineRule="auto"/>
              <w:rPr>
                <w:rFonts w:ascii="Times New Roman" w:hAnsi="Times New Roman" w:cs="Times New Roman"/>
                <w:b/>
                <w:lang w:val="lt-LT"/>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14:paraId="227CD18D" w14:textId="77777777" w:rsidR="006D012D" w:rsidRDefault="006D012D" w:rsidP="0013754F">
            <w:pPr>
              <w:snapToGrid w:val="0"/>
              <w:spacing w:line="240" w:lineRule="auto"/>
              <w:rPr>
                <w:rFonts w:ascii="Times New Roman" w:hAnsi="Times New Roman" w:cs="Times New Roman"/>
                <w:b/>
                <w:bCs/>
                <w:lang w:val="lt-LT"/>
              </w:rPr>
            </w:pPr>
          </w:p>
        </w:tc>
        <w:tc>
          <w:tcPr>
            <w:tcW w:w="683" w:type="dxa"/>
            <w:tcBorders>
              <w:top w:val="single" w:sz="4" w:space="0" w:color="000000"/>
              <w:left w:val="single" w:sz="4" w:space="0" w:color="000000"/>
              <w:bottom w:val="single" w:sz="4" w:space="0" w:color="000000"/>
              <w:right w:val="single" w:sz="4" w:space="0" w:color="000000"/>
            </w:tcBorders>
          </w:tcPr>
          <w:p w14:paraId="297FDFAC" w14:textId="77777777" w:rsidR="006D012D" w:rsidRDefault="006D012D" w:rsidP="0013754F">
            <w:pPr>
              <w:spacing w:line="240" w:lineRule="auto"/>
              <w:rPr>
                <w:rFonts w:ascii="Times New Roman" w:hAnsi="Times New Roman" w:cs="Times New Roman"/>
                <w:b/>
                <w:bCs/>
                <w:lang w:val="lt-LT"/>
              </w:rPr>
            </w:pPr>
            <w:r>
              <w:rPr>
                <w:rFonts w:ascii="Times New Roman" w:hAnsi="Times New Roman" w:cs="Times New Roman"/>
                <w:b/>
                <w:bCs/>
                <w:lang w:val="lt-LT"/>
              </w:rPr>
              <w:t>Taip</w:t>
            </w:r>
          </w:p>
        </w:tc>
        <w:tc>
          <w:tcPr>
            <w:tcW w:w="704" w:type="dxa"/>
            <w:tcBorders>
              <w:top w:val="single" w:sz="4" w:space="0" w:color="000000"/>
              <w:left w:val="single" w:sz="4" w:space="0" w:color="000000"/>
              <w:bottom w:val="single" w:sz="4" w:space="0" w:color="000000"/>
              <w:right w:val="single" w:sz="4" w:space="0" w:color="000000"/>
            </w:tcBorders>
          </w:tcPr>
          <w:p w14:paraId="29B48DF8" w14:textId="77777777" w:rsidR="006D012D" w:rsidRDefault="006D012D" w:rsidP="0013754F">
            <w:pPr>
              <w:spacing w:line="240" w:lineRule="auto"/>
              <w:rPr>
                <w:rFonts w:ascii="Times New Roman" w:hAnsi="Times New Roman" w:cs="Times New Roman"/>
                <w:b/>
                <w:bCs/>
                <w:lang w:val="lt-LT"/>
              </w:rPr>
            </w:pPr>
            <w:r>
              <w:rPr>
                <w:rFonts w:ascii="Times New Roman" w:hAnsi="Times New Roman" w:cs="Times New Roman"/>
                <w:b/>
                <w:bCs/>
                <w:lang w:val="lt-LT"/>
              </w:rPr>
              <w:t>Ne</w:t>
            </w:r>
          </w:p>
        </w:tc>
        <w:tc>
          <w:tcPr>
            <w:tcW w:w="1278" w:type="dxa"/>
            <w:tcBorders>
              <w:top w:val="single" w:sz="4" w:space="0" w:color="000000"/>
              <w:left w:val="single" w:sz="4" w:space="0" w:color="000000"/>
              <w:bottom w:val="single" w:sz="4" w:space="0" w:color="000000"/>
              <w:right w:val="single" w:sz="4" w:space="0" w:color="000000"/>
            </w:tcBorders>
          </w:tcPr>
          <w:p w14:paraId="0EB73DAF" w14:textId="77777777" w:rsidR="006D012D" w:rsidRDefault="006D012D" w:rsidP="0013754F">
            <w:pPr>
              <w:spacing w:line="240" w:lineRule="auto"/>
              <w:rPr>
                <w:rFonts w:ascii="Times New Roman" w:hAnsi="Times New Roman" w:cs="Times New Roman"/>
                <w:b/>
                <w:bCs/>
                <w:lang w:val="lt-LT"/>
              </w:rPr>
            </w:pPr>
            <w:r>
              <w:rPr>
                <w:rFonts w:ascii="Times New Roman" w:hAnsi="Times New Roman" w:cs="Times New Roman"/>
                <w:b/>
                <w:bCs/>
                <w:lang w:val="lt-LT"/>
              </w:rPr>
              <w:t>Netaikoma/ Neaktualu</w:t>
            </w:r>
          </w:p>
        </w:tc>
        <w:tc>
          <w:tcPr>
            <w:tcW w:w="4678" w:type="dxa"/>
            <w:tcBorders>
              <w:top w:val="single" w:sz="4" w:space="0" w:color="000000"/>
              <w:left w:val="single" w:sz="4" w:space="0" w:color="000000"/>
              <w:bottom w:val="single" w:sz="4" w:space="0" w:color="000000"/>
              <w:right w:val="single" w:sz="4" w:space="0" w:color="000000"/>
            </w:tcBorders>
          </w:tcPr>
          <w:p w14:paraId="26C62D34" w14:textId="77777777" w:rsidR="006D012D" w:rsidRDefault="006D012D" w:rsidP="0013754F">
            <w:pPr>
              <w:tabs>
                <w:tab w:val="left" w:pos="5046"/>
              </w:tabs>
              <w:snapToGrid w:val="0"/>
              <w:spacing w:line="240" w:lineRule="auto"/>
              <w:rPr>
                <w:rFonts w:ascii="Times New Roman" w:hAnsi="Times New Roman" w:cs="Times New Roman"/>
                <w:b/>
                <w:bCs/>
                <w:lang w:val="lt-LT"/>
              </w:rPr>
            </w:pPr>
          </w:p>
        </w:tc>
      </w:tr>
      <w:tr w:rsidR="006D012D" w14:paraId="1D19A083"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5554464B" w14:textId="77777777" w:rsidR="006D012D" w:rsidRDefault="006D012D" w:rsidP="0013754F">
            <w:pPr>
              <w:pStyle w:val="Default"/>
              <w:jc w:val="both"/>
              <w:rPr>
                <w:rFonts w:ascii="Times New Roman" w:hAnsi="Times New Roman" w:cs="Times New Roman"/>
                <w:iCs/>
                <w:sz w:val="20"/>
                <w:szCs w:val="20"/>
              </w:rPr>
            </w:pPr>
            <w:r>
              <w:rPr>
                <w:rFonts w:ascii="Times New Roman" w:hAnsi="Times New Roman" w:cs="Times New Roman"/>
                <w:b/>
                <w:bCs/>
                <w:sz w:val="20"/>
                <w:szCs w:val="20"/>
              </w:rPr>
              <w:t>SPECIALIEJI KANOPINIŲ KAILIAMS IR ODOMS IR JŲ GAMINIAMS TAIKOMI REIKALAVIMAI</w:t>
            </w:r>
          </w:p>
        </w:tc>
      </w:tr>
      <w:tr w:rsidR="006D012D" w14:paraId="4F3ED42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B2F7F54"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834AD21" w14:textId="77777777" w:rsidR="006D012D" w:rsidRDefault="006D012D" w:rsidP="0013754F">
            <w:pPr>
              <w:spacing w:line="240" w:lineRule="auto"/>
              <w:rPr>
                <w:rFonts w:ascii="Times New Roman" w:hAnsi="Times New Roman" w:cs="Times New Roman"/>
                <w:color w:val="000000"/>
                <w:lang w:val="lt-LT"/>
              </w:rPr>
            </w:pPr>
            <w:r>
              <w:rPr>
                <w:rFonts w:ascii="Times New Roman" w:hAnsi="Times New Roman" w:cs="Times New Roman"/>
                <w:lang w:val="lt-LT"/>
              </w:rPr>
              <w:t>Ar užtikrinama, kad žaliavos, kurios neatitinka specialiųjų reikalavimų, yra laikomos ir perdirbamos atskirai nuo šiuos reikalavimus atitinkančių žaliavų?</w:t>
            </w:r>
          </w:p>
        </w:tc>
        <w:tc>
          <w:tcPr>
            <w:tcW w:w="3097" w:type="dxa"/>
            <w:tcBorders>
              <w:top w:val="single" w:sz="4" w:space="0" w:color="000000"/>
              <w:left w:val="single" w:sz="4" w:space="0" w:color="000000"/>
              <w:bottom w:val="single" w:sz="4" w:space="0" w:color="000000"/>
              <w:right w:val="single" w:sz="4" w:space="0" w:color="000000"/>
            </w:tcBorders>
          </w:tcPr>
          <w:p w14:paraId="47E2AF51" w14:textId="77777777" w:rsidR="006D012D" w:rsidRDefault="006D012D" w:rsidP="0013754F">
            <w:pPr>
              <w:pStyle w:val="Default"/>
              <w:jc w:val="both"/>
              <w:rPr>
                <w:rFonts w:ascii="Times New Roman" w:hAnsi="Times New Roman" w:cs="Times New Roman"/>
                <w:sz w:val="20"/>
                <w:szCs w:val="20"/>
              </w:rPr>
            </w:pPr>
            <w:hyperlink r:id="rId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 skyriaus, A dalies c punktas</w:t>
            </w:r>
          </w:p>
        </w:tc>
        <w:tc>
          <w:tcPr>
            <w:tcW w:w="683" w:type="dxa"/>
            <w:tcBorders>
              <w:top w:val="single" w:sz="4" w:space="0" w:color="000000"/>
              <w:left w:val="single" w:sz="4" w:space="0" w:color="000000"/>
              <w:bottom w:val="single" w:sz="4" w:space="0" w:color="000000"/>
              <w:right w:val="single" w:sz="4" w:space="0" w:color="000000"/>
            </w:tcBorders>
          </w:tcPr>
          <w:p w14:paraId="5E6C9895"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7266406"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6D7F020"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523F370"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4328B5F2"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85E7693"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AF7B009" w14:textId="77777777" w:rsidR="006D012D" w:rsidRDefault="006D012D" w:rsidP="0013754F">
            <w:pPr>
              <w:spacing w:line="240" w:lineRule="auto"/>
              <w:rPr>
                <w:rFonts w:ascii="Times New Roman" w:hAnsi="Times New Roman" w:cs="Times New Roman"/>
                <w:color w:val="000000"/>
                <w:lang w:val="lt-LT"/>
              </w:rPr>
            </w:pPr>
            <w:r>
              <w:rPr>
                <w:rFonts w:ascii="Times New Roman" w:hAnsi="Times New Roman" w:cs="Times New Roman"/>
                <w:lang w:val="lt-LT"/>
              </w:rPr>
              <w:t>Ar nuokarpos ir atplaišos, gauti iš kalkintų kailių, yra apdorojami laikantis nustatytų reikalavimų prieš panaudojant gaminti gyvūnams skirtą želatiną arba organines trąšas ar dirvožemį gerinančias medžiagas?</w:t>
            </w:r>
          </w:p>
        </w:tc>
        <w:tc>
          <w:tcPr>
            <w:tcW w:w="3097" w:type="dxa"/>
            <w:tcBorders>
              <w:top w:val="single" w:sz="4" w:space="0" w:color="000000"/>
              <w:left w:val="single" w:sz="4" w:space="0" w:color="000000"/>
              <w:bottom w:val="single" w:sz="4" w:space="0" w:color="000000"/>
              <w:right w:val="single" w:sz="4" w:space="0" w:color="000000"/>
            </w:tcBorders>
          </w:tcPr>
          <w:p w14:paraId="2B28F973" w14:textId="77777777" w:rsidR="006D012D" w:rsidRDefault="006D012D" w:rsidP="0013754F">
            <w:pPr>
              <w:pStyle w:val="Default"/>
              <w:jc w:val="both"/>
              <w:rPr>
                <w:rFonts w:ascii="Times New Roman" w:hAnsi="Times New Roman" w:cs="Times New Roman"/>
                <w:sz w:val="20"/>
                <w:szCs w:val="20"/>
              </w:rPr>
            </w:pPr>
            <w:hyperlink r:id="rId6">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 skyriaus, A dalies d punktas</w:t>
            </w:r>
          </w:p>
        </w:tc>
        <w:tc>
          <w:tcPr>
            <w:tcW w:w="683" w:type="dxa"/>
            <w:tcBorders>
              <w:top w:val="single" w:sz="4" w:space="0" w:color="000000"/>
              <w:left w:val="single" w:sz="4" w:space="0" w:color="000000"/>
              <w:bottom w:val="single" w:sz="4" w:space="0" w:color="000000"/>
              <w:right w:val="single" w:sz="4" w:space="0" w:color="000000"/>
            </w:tcBorders>
          </w:tcPr>
          <w:p w14:paraId="5DF682BF"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502CEA6"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7BE9A68"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6367B66" w14:textId="77777777" w:rsidR="006D012D" w:rsidRDefault="006D012D" w:rsidP="0013754F">
            <w:pPr>
              <w:pStyle w:val="Default"/>
              <w:jc w:val="both"/>
              <w:rPr>
                <w:rFonts w:ascii="Times New Roman" w:hAnsi="Times New Roman" w:cs="Times New Roman"/>
                <w:iCs/>
                <w:sz w:val="20"/>
                <w:szCs w:val="20"/>
              </w:rPr>
            </w:pPr>
            <w:r>
              <w:rPr>
                <w:rFonts w:ascii="Times New Roman" w:hAnsi="Times New Roman" w:cs="Times New Roman"/>
                <w:sz w:val="20"/>
                <w:szCs w:val="20"/>
              </w:rPr>
              <w:t>Jeigu nuokarpos ir atplaišos gauti iš kalkintų kailių, šie likučiai apdorojami taip, kad būtų galima išvengti pavojaus visuomenės ir gyvūnų sveikatai.</w:t>
            </w:r>
          </w:p>
        </w:tc>
      </w:tr>
      <w:tr w:rsidR="006D012D" w14:paraId="56AACB42"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BD8E01B"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A1A2176" w14:textId="77777777" w:rsidR="006D012D" w:rsidRDefault="006D012D" w:rsidP="0013754F">
            <w:pPr>
              <w:spacing w:line="240" w:lineRule="auto"/>
              <w:rPr>
                <w:rFonts w:ascii="Times New Roman" w:hAnsi="Times New Roman" w:cs="Times New Roman"/>
                <w:color w:val="000000"/>
                <w:lang w:val="lt-LT"/>
              </w:rPr>
            </w:pPr>
            <w:r>
              <w:rPr>
                <w:rFonts w:ascii="Times New Roman" w:hAnsi="Times New Roman" w:cs="Times New Roman"/>
                <w:lang w:val="lt-LT"/>
              </w:rPr>
              <w:t>Ar kailiai ir odos neturėjo sąlyčio su jokiu kitu gyvūniniu produktu ar gyvais gyvūnais, galinčiais užkrėsti pavojinga užkrečiamąja liga?</w:t>
            </w:r>
          </w:p>
        </w:tc>
        <w:tc>
          <w:tcPr>
            <w:tcW w:w="3097" w:type="dxa"/>
            <w:tcBorders>
              <w:top w:val="single" w:sz="4" w:space="0" w:color="000000"/>
              <w:left w:val="single" w:sz="4" w:space="0" w:color="000000"/>
              <w:bottom w:val="single" w:sz="4" w:space="0" w:color="000000"/>
              <w:right w:val="single" w:sz="4" w:space="0" w:color="000000"/>
            </w:tcBorders>
          </w:tcPr>
          <w:p w14:paraId="77826170" w14:textId="77777777" w:rsidR="006D012D" w:rsidRDefault="006D012D" w:rsidP="0013754F">
            <w:pPr>
              <w:pStyle w:val="Default"/>
              <w:jc w:val="both"/>
              <w:rPr>
                <w:rFonts w:ascii="Times New Roman" w:hAnsi="Times New Roman" w:cs="Times New Roman"/>
                <w:sz w:val="20"/>
                <w:szCs w:val="20"/>
              </w:rPr>
            </w:pPr>
            <w:hyperlink r:id="rId7">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 skyriaus, B dalies 2 punkto a dalis</w:t>
            </w:r>
          </w:p>
        </w:tc>
        <w:tc>
          <w:tcPr>
            <w:tcW w:w="683" w:type="dxa"/>
            <w:tcBorders>
              <w:top w:val="single" w:sz="4" w:space="0" w:color="000000"/>
              <w:left w:val="single" w:sz="4" w:space="0" w:color="000000"/>
              <w:bottom w:val="single" w:sz="4" w:space="0" w:color="000000"/>
              <w:right w:val="single" w:sz="4" w:space="0" w:color="000000"/>
            </w:tcBorders>
          </w:tcPr>
          <w:p w14:paraId="5FE10105"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5F0F60E"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81C5DBE"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344EFA8"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5F86242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1448AE6"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D919748" w14:textId="77777777" w:rsidR="006D012D" w:rsidRDefault="006D012D" w:rsidP="0013754F">
            <w:pPr>
              <w:spacing w:line="240" w:lineRule="auto"/>
              <w:rPr>
                <w:rFonts w:ascii="Times New Roman" w:hAnsi="Times New Roman" w:cs="Times New Roman"/>
                <w:color w:val="000000"/>
                <w:lang w:val="lt-LT"/>
              </w:rPr>
            </w:pPr>
            <w:r>
              <w:rPr>
                <w:rFonts w:ascii="Times New Roman" w:hAnsi="Times New Roman" w:cs="Times New Roman"/>
                <w:lang w:val="lt-LT"/>
              </w:rPr>
              <w:t>Ar prekybos dokumente įrašytas teiginys, nurodantis, kad imtasi visų atsargumo priemonių siekiant išvengti užteršimo patogenais?</w:t>
            </w:r>
          </w:p>
        </w:tc>
        <w:tc>
          <w:tcPr>
            <w:tcW w:w="3097" w:type="dxa"/>
            <w:tcBorders>
              <w:top w:val="single" w:sz="4" w:space="0" w:color="000000"/>
              <w:left w:val="single" w:sz="4" w:space="0" w:color="000000"/>
              <w:bottom w:val="single" w:sz="4" w:space="0" w:color="000000"/>
              <w:right w:val="single" w:sz="4" w:space="0" w:color="000000"/>
            </w:tcBorders>
          </w:tcPr>
          <w:p w14:paraId="05659D92" w14:textId="77777777" w:rsidR="006D012D" w:rsidRDefault="006D012D" w:rsidP="0013754F">
            <w:pPr>
              <w:pStyle w:val="Default"/>
              <w:jc w:val="both"/>
              <w:rPr>
                <w:rFonts w:ascii="Times New Roman" w:hAnsi="Times New Roman" w:cs="Times New Roman"/>
                <w:sz w:val="20"/>
                <w:szCs w:val="20"/>
              </w:rPr>
            </w:pPr>
            <w:hyperlink r:id="rId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 skyriaus, B dalies 2 punkto b dalis</w:t>
            </w:r>
          </w:p>
        </w:tc>
        <w:tc>
          <w:tcPr>
            <w:tcW w:w="683" w:type="dxa"/>
            <w:tcBorders>
              <w:top w:val="single" w:sz="4" w:space="0" w:color="000000"/>
              <w:left w:val="single" w:sz="4" w:space="0" w:color="000000"/>
              <w:bottom w:val="single" w:sz="4" w:space="0" w:color="000000"/>
              <w:right w:val="single" w:sz="4" w:space="0" w:color="000000"/>
            </w:tcBorders>
          </w:tcPr>
          <w:p w14:paraId="265A999F"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CC42959"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C732B34"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94D24B6"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1350F24F"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38258AF7" w14:textId="77777777" w:rsidR="006D012D" w:rsidRDefault="006D012D" w:rsidP="0013754F">
            <w:pPr>
              <w:pStyle w:val="Default"/>
              <w:jc w:val="both"/>
              <w:rPr>
                <w:rFonts w:ascii="Times New Roman" w:hAnsi="Times New Roman" w:cs="Times New Roman"/>
                <w:iCs/>
                <w:sz w:val="20"/>
                <w:szCs w:val="20"/>
              </w:rPr>
            </w:pPr>
            <w:r>
              <w:rPr>
                <w:rFonts w:ascii="Times New Roman" w:hAnsi="Times New Roman" w:cs="Times New Roman"/>
                <w:b/>
                <w:bCs/>
                <w:sz w:val="20"/>
                <w:szCs w:val="20"/>
              </w:rPr>
              <w:t>SPECIALIEJI MEDŽIOJAMŲJŲ GYVŪNŲ TROFĖJAMS IR KITIEMS GYVŪNŲ PREPARATAMS TAIKOMI REIKALAVIMAI</w:t>
            </w:r>
          </w:p>
        </w:tc>
      </w:tr>
      <w:tr w:rsidR="006D012D" w14:paraId="1B25CD0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36C8C9B"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65AC9DD"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 xml:space="preserve">Ar medžiojamųjų gyvūnų trofėjai ir kiti gyvūnų preparatai gauti iš teritorijos, kurioje negalioja draudimai </w:t>
            </w:r>
            <w:r>
              <w:rPr>
                <w:rFonts w:ascii="Times New Roman" w:hAnsi="Times New Roman" w:cs="Times New Roman"/>
                <w:lang w:val="lt-LT"/>
              </w:rPr>
              <w:lastRenderedPageBreak/>
              <w:t>dėl pasireiškusios pavojingos užkrečiamosios ligos, kuria būtų galėję sirgti tų rūšių gyvūnai?</w:t>
            </w:r>
          </w:p>
        </w:tc>
        <w:tc>
          <w:tcPr>
            <w:tcW w:w="3097" w:type="dxa"/>
            <w:tcBorders>
              <w:top w:val="single" w:sz="4" w:space="0" w:color="000000"/>
              <w:left w:val="single" w:sz="4" w:space="0" w:color="000000"/>
              <w:bottom w:val="single" w:sz="4" w:space="0" w:color="000000"/>
              <w:right w:val="single" w:sz="4" w:space="0" w:color="000000"/>
            </w:tcBorders>
          </w:tcPr>
          <w:p w14:paraId="33FED590" w14:textId="77777777" w:rsidR="006D012D" w:rsidRDefault="006D012D" w:rsidP="0013754F">
            <w:pPr>
              <w:pStyle w:val="Default"/>
              <w:jc w:val="both"/>
              <w:rPr>
                <w:rFonts w:ascii="Times New Roman" w:hAnsi="Times New Roman" w:cs="Times New Roman"/>
                <w:sz w:val="20"/>
                <w:szCs w:val="20"/>
              </w:rPr>
            </w:pPr>
            <w:hyperlink r:id="rId9">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 skyriaus, B dalies b punktas</w:t>
            </w:r>
          </w:p>
        </w:tc>
        <w:tc>
          <w:tcPr>
            <w:tcW w:w="683" w:type="dxa"/>
            <w:tcBorders>
              <w:top w:val="single" w:sz="4" w:space="0" w:color="000000"/>
              <w:left w:val="single" w:sz="4" w:space="0" w:color="000000"/>
              <w:bottom w:val="single" w:sz="4" w:space="0" w:color="000000"/>
              <w:right w:val="single" w:sz="4" w:space="0" w:color="000000"/>
            </w:tcBorders>
          </w:tcPr>
          <w:p w14:paraId="5253CA95"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38F84BA"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3E3C22A"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39CA2FF"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36FE696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4376ED2"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2DA329A2"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medžiojamųjų gyvūnų trofėjai ir kiti gyvūnų preparatai buvo apdoroti arba pateikti tokios būklės, kuri nekelia jokio pavojaus sveikatai?</w:t>
            </w:r>
          </w:p>
        </w:tc>
        <w:tc>
          <w:tcPr>
            <w:tcW w:w="3097" w:type="dxa"/>
            <w:tcBorders>
              <w:top w:val="single" w:sz="4" w:space="0" w:color="000000"/>
              <w:left w:val="single" w:sz="4" w:space="0" w:color="000000"/>
              <w:bottom w:val="single" w:sz="4" w:space="0" w:color="000000"/>
              <w:right w:val="single" w:sz="4" w:space="0" w:color="000000"/>
            </w:tcBorders>
          </w:tcPr>
          <w:p w14:paraId="6781004B" w14:textId="77777777" w:rsidR="006D012D" w:rsidRDefault="006D012D" w:rsidP="0013754F">
            <w:pPr>
              <w:pStyle w:val="Default"/>
              <w:jc w:val="both"/>
              <w:rPr>
                <w:rFonts w:ascii="Times New Roman" w:hAnsi="Times New Roman" w:cs="Times New Roman"/>
                <w:sz w:val="20"/>
                <w:szCs w:val="20"/>
              </w:rPr>
            </w:pPr>
            <w:hyperlink r:id="rId10">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 skyriaus, C dalies 1 punktas</w:t>
            </w:r>
          </w:p>
        </w:tc>
        <w:tc>
          <w:tcPr>
            <w:tcW w:w="683" w:type="dxa"/>
            <w:tcBorders>
              <w:top w:val="single" w:sz="4" w:space="0" w:color="000000"/>
              <w:left w:val="single" w:sz="4" w:space="0" w:color="000000"/>
              <w:bottom w:val="single" w:sz="4" w:space="0" w:color="000000"/>
              <w:right w:val="single" w:sz="4" w:space="0" w:color="000000"/>
            </w:tcBorders>
          </w:tcPr>
          <w:p w14:paraId="5AF53248"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B96E9B9"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7911175"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798A2"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Saugus apdorojimas:</w:t>
            </w:r>
          </w:p>
          <w:p w14:paraId="6287649A"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a) gauti iš kanopinių ar paukščių, iš kurių pabaigtos kanopinių ir paukščių iškamšos, padarytos taip, kad išsilaikytų aplinkos temperatūroje; </w:t>
            </w:r>
          </w:p>
          <w:p w14:paraId="7F2B5B68" w14:textId="77777777" w:rsidR="006D012D" w:rsidRDefault="006D012D" w:rsidP="0013754F">
            <w:pPr>
              <w:pStyle w:val="Default"/>
              <w:spacing w:line="256" w:lineRule="auto"/>
              <w:jc w:val="both"/>
            </w:pPr>
            <w:r>
              <w:rPr>
                <w:rFonts w:ascii="Times New Roman" w:hAnsi="Times New Roman" w:cs="Times New Roman"/>
                <w:sz w:val="20"/>
                <w:szCs w:val="20"/>
              </w:rPr>
              <w:t xml:space="preserve">b) yra kanopinių ar paukščių ar šių gyvūnų dalių iškamšos; </w:t>
            </w:r>
          </w:p>
          <w:p w14:paraId="3D5EA176"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c) iš jų buvo daromi anatominiai preparatai, pavyzdžiui, jie buvo balzamuojami; </w:t>
            </w:r>
          </w:p>
          <w:p w14:paraId="72650F4B"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d) jie yra biologinės vabzdžių ar voragyvių klasės gyvūnai, kurie buvo apdoroti, pavyzdžiui, išdžiovinti, kad būtų išvengta bet kokios žmonėms ar gyvūnams užkrečiamos ligos perdavimo; arba </w:t>
            </w:r>
          </w:p>
          <w:p w14:paraId="2A08B1E0"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e) jie yra gamtos istorijos objektų kolekcijos arba skirti mokslui skatinti ir jie yra: </w:t>
            </w:r>
          </w:p>
          <w:p w14:paraId="2A9C9B25"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i) konservuoti terpėse, pvz., alkoholio arba </w:t>
            </w:r>
            <w:proofErr w:type="spellStart"/>
            <w:r>
              <w:rPr>
                <w:rFonts w:ascii="Times New Roman" w:hAnsi="Times New Roman" w:cs="Times New Roman"/>
                <w:sz w:val="20"/>
                <w:szCs w:val="20"/>
              </w:rPr>
              <w:t>formaldehido</w:t>
            </w:r>
            <w:proofErr w:type="spellEnd"/>
            <w:r>
              <w:rPr>
                <w:rFonts w:ascii="Times New Roman" w:hAnsi="Times New Roman" w:cs="Times New Roman"/>
                <w:sz w:val="20"/>
                <w:szCs w:val="20"/>
              </w:rPr>
              <w:t xml:space="preserve">, kurios leidžia rodyti objektus; </w:t>
            </w:r>
          </w:p>
          <w:p w14:paraId="54F899D4" w14:textId="77777777" w:rsidR="006D012D" w:rsidRDefault="006D012D" w:rsidP="0013754F">
            <w:pPr>
              <w:pStyle w:val="Default"/>
              <w:spacing w:line="256" w:lineRule="auto"/>
              <w:jc w:val="both"/>
            </w:pPr>
            <w:r>
              <w:rPr>
                <w:rFonts w:ascii="Times New Roman" w:hAnsi="Times New Roman" w:cs="Times New Roman"/>
                <w:sz w:val="20"/>
                <w:szCs w:val="20"/>
              </w:rPr>
              <w:t xml:space="preserve">ii) fiksuoti ant mikroskopinių stiklelių; arba </w:t>
            </w:r>
          </w:p>
          <w:p w14:paraId="60324D7A"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iii) sudaryti iš viso skeleto ar jo dalių, kaulų ar dantų, kuriais keistis išskirtinai gali tik muziejai ir švietimo įstaigos; </w:t>
            </w:r>
          </w:p>
          <w:p w14:paraId="04D33E01"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f) apdoroti DNR mėginiai, skirti duomenų saugykloms, skirtoms biologinės įvairovės moksliniams tyrimams, ekologijai, medicinos ir veterinarijos mokslui ar biologijai propaguoti.</w:t>
            </w:r>
          </w:p>
        </w:tc>
      </w:tr>
      <w:tr w:rsidR="006D012D" w14:paraId="46F923F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91F7C39"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27ED79B0"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medžiojamųjų gyvūnų trofėjai ir kiti gyvūnų preparatai, kurie gauti iš gyvūnų, kilusių iš teritorijos, kuriai taikomi apribojimai dėl pasireiškusios pavojingos užkrečiamosios ligos, kuriai atitinkamų rūšių gyvūnai yra imlūs, yra tinkamai tiekiami rinkai?</w:t>
            </w:r>
          </w:p>
        </w:tc>
        <w:tc>
          <w:tcPr>
            <w:tcW w:w="3097" w:type="dxa"/>
            <w:tcBorders>
              <w:top w:val="single" w:sz="4" w:space="0" w:color="000000"/>
              <w:left w:val="single" w:sz="4" w:space="0" w:color="000000"/>
              <w:bottom w:val="single" w:sz="4" w:space="0" w:color="000000"/>
              <w:right w:val="single" w:sz="4" w:space="0" w:color="000000"/>
            </w:tcBorders>
          </w:tcPr>
          <w:p w14:paraId="5C622CC1" w14:textId="77777777" w:rsidR="006D012D" w:rsidRDefault="006D012D" w:rsidP="0013754F">
            <w:pPr>
              <w:pStyle w:val="Default"/>
              <w:jc w:val="both"/>
              <w:rPr>
                <w:rFonts w:ascii="Times New Roman" w:hAnsi="Times New Roman" w:cs="Times New Roman"/>
                <w:sz w:val="20"/>
                <w:szCs w:val="20"/>
              </w:rPr>
            </w:pPr>
            <w:hyperlink r:id="rId11">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 skyriaus, C dalies 2 punktas</w:t>
            </w:r>
          </w:p>
        </w:tc>
        <w:tc>
          <w:tcPr>
            <w:tcW w:w="683" w:type="dxa"/>
            <w:tcBorders>
              <w:top w:val="single" w:sz="4" w:space="0" w:color="000000"/>
              <w:left w:val="single" w:sz="4" w:space="0" w:color="000000"/>
              <w:bottom w:val="single" w:sz="4" w:space="0" w:color="000000"/>
              <w:right w:val="single" w:sz="4" w:space="0" w:color="000000"/>
            </w:tcBorders>
          </w:tcPr>
          <w:p w14:paraId="3D5BBD75"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3800713"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19C2803"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EB7D933"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Tinkamas tiekiami rinkai: </w:t>
            </w:r>
          </w:p>
          <w:p w14:paraId="2E1458C3" w14:textId="77777777" w:rsidR="006D012D" w:rsidRDefault="006D012D" w:rsidP="0013754F">
            <w:pPr>
              <w:pStyle w:val="Default"/>
              <w:spacing w:line="256" w:lineRule="auto"/>
              <w:jc w:val="both"/>
            </w:pPr>
            <w:r>
              <w:rPr>
                <w:rFonts w:ascii="Times New Roman" w:hAnsi="Times New Roman" w:cs="Times New Roman"/>
                <w:sz w:val="20"/>
                <w:szCs w:val="20"/>
              </w:rPr>
              <w:t xml:space="preserve">a) jei tai medžioklės trofėjai ar kiti preparatai, sudaryti vien tik iš kaulų, ragų, kanopų, nagų, ragų šakų ar dantų, jie: </w:t>
            </w:r>
          </w:p>
          <w:p w14:paraId="5D9E0582"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i) išlaikyti verdančiame vandenyje pakankamą laiką, kad būtų pašalintos visos kitos medžiagos, išskyrus pačius kaulus, ragus, kanopas, nagus, ragų šakas ar dantis; </w:t>
            </w:r>
          </w:p>
          <w:p w14:paraId="12462FCF" w14:textId="77777777" w:rsidR="006D012D" w:rsidRDefault="006D012D" w:rsidP="0013754F">
            <w:pPr>
              <w:pStyle w:val="Default"/>
              <w:spacing w:line="256" w:lineRule="auto"/>
              <w:jc w:val="both"/>
            </w:pPr>
            <w:r>
              <w:rPr>
                <w:rFonts w:ascii="Times New Roman" w:hAnsi="Times New Roman" w:cs="Times New Roman"/>
                <w:sz w:val="20"/>
                <w:szCs w:val="20"/>
              </w:rPr>
              <w:t xml:space="preserve">ii) dezinfekuoti išvykimo šalyje kompetentingos institucijos patvirtinta medžiaga; dalys, sudarytos iš kaulo, turi būti dezinfekuotos vandenilio peroksidu; iii) po apdorojimo iškart supakuoti į atskirus permatomus ir </w:t>
            </w:r>
            <w:r>
              <w:rPr>
                <w:rFonts w:ascii="Times New Roman" w:hAnsi="Times New Roman" w:cs="Times New Roman"/>
                <w:sz w:val="20"/>
                <w:szCs w:val="20"/>
              </w:rPr>
              <w:lastRenderedPageBreak/>
              <w:t xml:space="preserve">sandarius paketus, kad nebūtų sąlyčio su kitais gyvūniniais produktais, kurie galėtų juos užteršti, ir kad neužsiterštų vėliau; ir </w:t>
            </w:r>
          </w:p>
          <w:p w14:paraId="29A4DB09"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iv) prie jų pridėtas sveikatos sertifikatas, kuriame nurodoma, kad laikytasi i, ii ir iii įtraukose nurodytų sąlygų; </w:t>
            </w:r>
          </w:p>
          <w:p w14:paraId="3473C302"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b) kai medžioklės trofėjai ar kiti preparatai yra vien tik kailiai ir odos: </w:t>
            </w:r>
          </w:p>
          <w:p w14:paraId="580CFC4A"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i) jie buvo: — išdžiovinti; — sausai ar drėgnai sūdomi ne trumpiau kaip 14 dienų iki išsiuntimo; arba — konservuoti ne rauginimo būdu;</w:t>
            </w:r>
          </w:p>
          <w:p w14:paraId="0537978D" w14:textId="77777777" w:rsidR="006D012D" w:rsidRDefault="006D012D" w:rsidP="0013754F">
            <w:pPr>
              <w:pStyle w:val="Default"/>
              <w:spacing w:line="256" w:lineRule="auto"/>
              <w:jc w:val="both"/>
            </w:pPr>
            <w:r>
              <w:rPr>
                <w:rFonts w:ascii="Times New Roman" w:hAnsi="Times New Roman" w:cs="Times New Roman"/>
                <w:sz w:val="20"/>
                <w:szCs w:val="20"/>
              </w:rPr>
              <w:t xml:space="preserve">ii) po apdorojimo iškart supakuoti į atskirus permatomus ir sandarius paketus, kad nebūtų sąlyčio su kitais gyvūniniais produktais, kurie galėtų juos užteršti, ir kad neužsiterštų vėliau; ir </w:t>
            </w:r>
          </w:p>
          <w:p w14:paraId="40BDA895"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iii) prie jų pridėtas sveikumo sertifikatas, kuriame nurodoma, kad laikytasi i ir ii įtraukose nurodytų sąlygų.</w:t>
            </w:r>
          </w:p>
        </w:tc>
      </w:tr>
      <w:tr w:rsidR="006D012D" w14:paraId="465CBED5"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5EE65BCD" w14:textId="77777777" w:rsidR="006D012D" w:rsidRDefault="006D012D" w:rsidP="0013754F">
            <w:pPr>
              <w:pStyle w:val="Default"/>
              <w:jc w:val="both"/>
              <w:rPr>
                <w:rFonts w:ascii="Times New Roman" w:hAnsi="Times New Roman" w:cs="Times New Roman"/>
                <w:sz w:val="20"/>
                <w:szCs w:val="20"/>
              </w:rPr>
            </w:pPr>
            <w:r>
              <w:rPr>
                <w:rFonts w:ascii="Times New Roman" w:hAnsi="Times New Roman" w:cs="Times New Roman"/>
                <w:b/>
                <w:bCs/>
                <w:sz w:val="20"/>
                <w:szCs w:val="20"/>
              </w:rPr>
              <w:lastRenderedPageBreak/>
              <w:t>SPECIALIEJI VILNAI, PLAUKAMS, KIAULIŲ ŠERIAMS, PLUNKSNOMS, JŲ DALIMS IR PŪKAMS TAIKOMI REIKALAVIMAI</w:t>
            </w:r>
          </w:p>
        </w:tc>
      </w:tr>
      <w:tr w:rsidR="006D012D" w14:paraId="6297A6FC" w14:textId="77777777" w:rsidTr="0013754F">
        <w:trPr>
          <w:trHeight w:val="1159"/>
        </w:trPr>
        <w:tc>
          <w:tcPr>
            <w:tcW w:w="851" w:type="dxa"/>
            <w:tcBorders>
              <w:top w:val="single" w:sz="4" w:space="0" w:color="000000"/>
              <w:left w:val="single" w:sz="4" w:space="0" w:color="000000"/>
              <w:bottom w:val="single" w:sz="4" w:space="0" w:color="000000"/>
              <w:right w:val="single" w:sz="4" w:space="0" w:color="000000"/>
            </w:tcBorders>
          </w:tcPr>
          <w:p w14:paraId="6F11D8C7"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1AB63D9C"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neapdorota vilna, neapdoroti plaukai, neapdoroti kiaulių šeriai ir neapdorotos plunksnos, plunksnų dalys ir pūkai yra iš 3 kategorijos medžiagų?</w:t>
            </w:r>
          </w:p>
        </w:tc>
        <w:tc>
          <w:tcPr>
            <w:tcW w:w="3097" w:type="dxa"/>
            <w:tcBorders>
              <w:top w:val="single" w:sz="4" w:space="0" w:color="000000"/>
              <w:left w:val="single" w:sz="4" w:space="0" w:color="000000"/>
              <w:bottom w:val="single" w:sz="4" w:space="0" w:color="000000"/>
              <w:right w:val="single" w:sz="4" w:space="0" w:color="000000"/>
            </w:tcBorders>
          </w:tcPr>
          <w:p w14:paraId="5C665220" w14:textId="77777777" w:rsidR="006D012D" w:rsidRDefault="006D012D" w:rsidP="0013754F">
            <w:pPr>
              <w:pStyle w:val="Default"/>
              <w:jc w:val="both"/>
              <w:rPr>
                <w:rFonts w:ascii="Times New Roman" w:hAnsi="Times New Roman" w:cs="Times New Roman"/>
                <w:sz w:val="20"/>
                <w:szCs w:val="20"/>
              </w:rPr>
            </w:pPr>
            <w:hyperlink r:id="rId1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A dalies 1 punktas</w:t>
            </w:r>
          </w:p>
        </w:tc>
        <w:tc>
          <w:tcPr>
            <w:tcW w:w="683" w:type="dxa"/>
            <w:tcBorders>
              <w:top w:val="single" w:sz="4" w:space="0" w:color="000000"/>
              <w:left w:val="single" w:sz="4" w:space="0" w:color="000000"/>
              <w:bottom w:val="single" w:sz="4" w:space="0" w:color="000000"/>
              <w:right w:val="single" w:sz="4" w:space="0" w:color="000000"/>
            </w:tcBorders>
          </w:tcPr>
          <w:p w14:paraId="5C698844"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79D6F18"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DBBD61E"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A12140A"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Turi būti 3 kategorijos medžiagos, nurodytos Reglamento (EB) Nr. 1069/2009 10 straipsnio b punkto iii, iv ir v papunkčiuose ir 10 straipsnio h bei n punktuose.</w:t>
            </w:r>
          </w:p>
        </w:tc>
      </w:tr>
      <w:tr w:rsidR="006D012D" w14:paraId="5869E5D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EEE0C34"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3D570DFE"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neapdorota vilna, neapdoroti plaukai, neapdoroti kiaulių šeriai ir neapdorotos plunksnos, plunksnų dalys ir pūkai gerai supakuoti ir sausi?</w:t>
            </w:r>
          </w:p>
        </w:tc>
        <w:tc>
          <w:tcPr>
            <w:tcW w:w="3097" w:type="dxa"/>
            <w:tcBorders>
              <w:top w:val="single" w:sz="4" w:space="0" w:color="000000"/>
              <w:left w:val="single" w:sz="4" w:space="0" w:color="000000"/>
              <w:bottom w:val="single" w:sz="4" w:space="0" w:color="000000"/>
              <w:right w:val="single" w:sz="4" w:space="0" w:color="000000"/>
            </w:tcBorders>
          </w:tcPr>
          <w:p w14:paraId="4FC0A0B7" w14:textId="77777777" w:rsidR="006D012D" w:rsidRDefault="006D012D" w:rsidP="0013754F">
            <w:pPr>
              <w:pStyle w:val="Default"/>
              <w:jc w:val="both"/>
              <w:rPr>
                <w:rFonts w:ascii="Times New Roman" w:hAnsi="Times New Roman" w:cs="Times New Roman"/>
                <w:sz w:val="20"/>
                <w:szCs w:val="20"/>
              </w:rPr>
            </w:pPr>
            <w:hyperlink r:id="rId13">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A dalies 1 punktas</w:t>
            </w:r>
          </w:p>
        </w:tc>
        <w:tc>
          <w:tcPr>
            <w:tcW w:w="683" w:type="dxa"/>
            <w:tcBorders>
              <w:top w:val="single" w:sz="4" w:space="0" w:color="000000"/>
              <w:left w:val="single" w:sz="4" w:space="0" w:color="000000"/>
              <w:bottom w:val="single" w:sz="4" w:space="0" w:color="000000"/>
              <w:right w:val="single" w:sz="4" w:space="0" w:color="000000"/>
            </w:tcBorders>
          </w:tcPr>
          <w:p w14:paraId="2BE26559"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756CB25"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7BC0CAE"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43F3892"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25CFFF6F"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1A38122"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289DE43F"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kiaulių šeriai ir kiaulinių vilna bei plaukai kilę iš regionų, kuriems būdingas endeminis afrikinis kiaulių maras yra išvirti, nudažyti ar nubalinti?</w:t>
            </w:r>
          </w:p>
        </w:tc>
        <w:tc>
          <w:tcPr>
            <w:tcW w:w="3097" w:type="dxa"/>
            <w:tcBorders>
              <w:top w:val="single" w:sz="4" w:space="0" w:color="000000"/>
              <w:left w:val="single" w:sz="4" w:space="0" w:color="000000"/>
              <w:bottom w:val="single" w:sz="4" w:space="0" w:color="000000"/>
              <w:right w:val="single" w:sz="4" w:space="0" w:color="000000"/>
            </w:tcBorders>
          </w:tcPr>
          <w:p w14:paraId="4C4A1822" w14:textId="77777777" w:rsidR="006D012D" w:rsidRDefault="006D012D" w:rsidP="0013754F">
            <w:pPr>
              <w:pStyle w:val="Default"/>
              <w:jc w:val="both"/>
              <w:rPr>
                <w:rFonts w:ascii="Times New Roman" w:hAnsi="Times New Roman" w:cs="Times New Roman"/>
                <w:sz w:val="20"/>
                <w:szCs w:val="20"/>
              </w:rPr>
            </w:pPr>
            <w:hyperlink r:id="rId14">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A dalies 2 punkto a papunktis</w:t>
            </w:r>
          </w:p>
        </w:tc>
        <w:tc>
          <w:tcPr>
            <w:tcW w:w="683" w:type="dxa"/>
            <w:tcBorders>
              <w:top w:val="single" w:sz="4" w:space="0" w:color="000000"/>
              <w:left w:val="single" w:sz="4" w:space="0" w:color="000000"/>
              <w:bottom w:val="single" w:sz="4" w:space="0" w:color="000000"/>
              <w:right w:val="single" w:sz="4" w:space="0" w:color="000000"/>
            </w:tcBorders>
          </w:tcPr>
          <w:p w14:paraId="518CA29F"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B479889"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4B39364"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82A3215"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42E19D6F"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7871AD1"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51CA76E"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 xml:space="preserve">Ar kiaulių šeriai ir kiaulinių vilna bei plaukai kilę iš regionų, kuriems būdingas endeminis afrikinis kiaulių maras tinkamai apdoroti kitu būdu? </w:t>
            </w:r>
          </w:p>
        </w:tc>
        <w:tc>
          <w:tcPr>
            <w:tcW w:w="3097" w:type="dxa"/>
            <w:tcBorders>
              <w:top w:val="single" w:sz="4" w:space="0" w:color="000000"/>
              <w:left w:val="single" w:sz="4" w:space="0" w:color="000000"/>
              <w:bottom w:val="single" w:sz="4" w:space="0" w:color="000000"/>
              <w:right w:val="single" w:sz="4" w:space="0" w:color="000000"/>
            </w:tcBorders>
          </w:tcPr>
          <w:p w14:paraId="47500931" w14:textId="77777777" w:rsidR="006D012D" w:rsidRDefault="006D012D" w:rsidP="0013754F">
            <w:pPr>
              <w:pStyle w:val="Default"/>
              <w:jc w:val="both"/>
              <w:rPr>
                <w:rFonts w:ascii="Times New Roman" w:hAnsi="Times New Roman" w:cs="Times New Roman"/>
                <w:sz w:val="20"/>
                <w:szCs w:val="20"/>
              </w:rPr>
            </w:pPr>
            <w:hyperlink r:id="rId1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A dalies 2 punkto b papunktis</w:t>
            </w:r>
          </w:p>
        </w:tc>
        <w:tc>
          <w:tcPr>
            <w:tcW w:w="683" w:type="dxa"/>
            <w:tcBorders>
              <w:top w:val="single" w:sz="4" w:space="0" w:color="000000"/>
              <w:left w:val="single" w:sz="4" w:space="0" w:color="000000"/>
              <w:bottom w:val="single" w:sz="4" w:space="0" w:color="000000"/>
              <w:right w:val="single" w:sz="4" w:space="0" w:color="000000"/>
            </w:tcBorders>
          </w:tcPr>
          <w:p w14:paraId="647D7BA8"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CFDDA96"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1B77E50"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775AA64"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Tinkamas būdas:</w:t>
            </w:r>
          </w:p>
          <w:p w14:paraId="68168462" w14:textId="77777777" w:rsidR="006D012D" w:rsidRDefault="006D012D" w:rsidP="0013754F">
            <w:pPr>
              <w:pStyle w:val="Default"/>
              <w:spacing w:line="256" w:lineRule="auto"/>
              <w:jc w:val="both"/>
              <w:rPr>
                <w:rFonts w:ascii="Times New Roman" w:hAnsi="Times New Roman" w:cs="Times New Roman"/>
                <w:sz w:val="20"/>
                <w:szCs w:val="20"/>
              </w:rPr>
            </w:pPr>
            <w:r>
              <w:rPr>
                <w:rFonts w:ascii="Times New Roman" w:hAnsi="Times New Roman" w:cs="Times New Roman"/>
                <w:sz w:val="20"/>
                <w:szCs w:val="20"/>
              </w:rPr>
              <w:t>sunaikinami patogenai, jei poveikio įrodymai pateikiami už kilmės vietą atsakingo veterinarijos gydytojo išduotame sertifikate.</w:t>
            </w:r>
          </w:p>
        </w:tc>
      </w:tr>
      <w:tr w:rsidR="006D012D" w14:paraId="364028D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4619280"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0E3E16EA"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 xml:space="preserve">Ar vilnos ir plaukų (išskyrus kiaulinius) plovimo gamyklos užtikrina, kad vilna ir plaukai pamerkiami į vandens, muilo ir natrio hidroksido arba kalio hidroksido </w:t>
            </w:r>
            <w:r>
              <w:rPr>
                <w:rFonts w:ascii="Times New Roman" w:hAnsi="Times New Roman" w:cs="Times New Roman"/>
                <w:lang w:val="lt-LT"/>
              </w:rPr>
              <w:lastRenderedPageBreak/>
              <w:t>vonias?</w:t>
            </w:r>
          </w:p>
        </w:tc>
        <w:tc>
          <w:tcPr>
            <w:tcW w:w="3097" w:type="dxa"/>
            <w:tcBorders>
              <w:top w:val="single" w:sz="4" w:space="0" w:color="000000"/>
              <w:left w:val="single" w:sz="4" w:space="0" w:color="000000"/>
              <w:bottom w:val="single" w:sz="4" w:space="0" w:color="000000"/>
              <w:right w:val="single" w:sz="4" w:space="0" w:color="000000"/>
            </w:tcBorders>
          </w:tcPr>
          <w:p w14:paraId="7F01BD63" w14:textId="77777777" w:rsidR="006D012D" w:rsidRDefault="006D012D" w:rsidP="0013754F">
            <w:pPr>
              <w:pStyle w:val="Default"/>
              <w:jc w:val="both"/>
              <w:rPr>
                <w:rFonts w:ascii="Times New Roman" w:hAnsi="Times New Roman" w:cs="Times New Roman"/>
                <w:sz w:val="20"/>
                <w:szCs w:val="20"/>
              </w:rPr>
            </w:pPr>
            <w:hyperlink r:id="rId16">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B dalies a punktas</w:t>
            </w:r>
          </w:p>
        </w:tc>
        <w:tc>
          <w:tcPr>
            <w:tcW w:w="683" w:type="dxa"/>
            <w:tcBorders>
              <w:top w:val="single" w:sz="4" w:space="0" w:color="000000"/>
              <w:left w:val="single" w:sz="4" w:space="0" w:color="000000"/>
              <w:bottom w:val="single" w:sz="4" w:space="0" w:color="000000"/>
              <w:right w:val="single" w:sz="4" w:space="0" w:color="000000"/>
            </w:tcBorders>
          </w:tcPr>
          <w:p w14:paraId="00CB6984"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69BABD2"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D1B59F9"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D57A41F"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7FBB092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66B389D"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6A67B294"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vilnos ir plaukų (išskyrus kiaulinius) plovimo gamyklos užtikrina, kad vilna ir plaukai apdoroti taikant chemine depiliacija, kuriai naudojamos gesintos kalkės arba natrio sulfidas?</w:t>
            </w:r>
          </w:p>
        </w:tc>
        <w:tc>
          <w:tcPr>
            <w:tcW w:w="3097" w:type="dxa"/>
            <w:tcBorders>
              <w:top w:val="single" w:sz="4" w:space="0" w:color="000000"/>
              <w:left w:val="single" w:sz="4" w:space="0" w:color="000000"/>
              <w:bottom w:val="single" w:sz="4" w:space="0" w:color="000000"/>
              <w:right w:val="single" w:sz="4" w:space="0" w:color="000000"/>
            </w:tcBorders>
          </w:tcPr>
          <w:p w14:paraId="273AC5E9" w14:textId="77777777" w:rsidR="006D012D" w:rsidRDefault="006D012D" w:rsidP="0013754F">
            <w:pPr>
              <w:pStyle w:val="Default"/>
              <w:jc w:val="both"/>
              <w:rPr>
                <w:rFonts w:ascii="Times New Roman" w:hAnsi="Times New Roman" w:cs="Times New Roman"/>
                <w:sz w:val="20"/>
                <w:szCs w:val="20"/>
              </w:rPr>
            </w:pPr>
            <w:hyperlink r:id="rId17">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B dalies b punkto i papunktis</w:t>
            </w:r>
          </w:p>
        </w:tc>
        <w:tc>
          <w:tcPr>
            <w:tcW w:w="683" w:type="dxa"/>
            <w:tcBorders>
              <w:top w:val="single" w:sz="4" w:space="0" w:color="000000"/>
              <w:left w:val="single" w:sz="4" w:space="0" w:color="000000"/>
              <w:bottom w:val="single" w:sz="4" w:space="0" w:color="000000"/>
              <w:right w:val="single" w:sz="4" w:space="0" w:color="000000"/>
            </w:tcBorders>
          </w:tcPr>
          <w:p w14:paraId="14C755F0"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E3886F1"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99DB294"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1D8A83D"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1689F80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55ABA3D"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44A7A248"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 xml:space="preserve">Ar vilnos ir plaukų (išskyrus kiaulinius) plovimo gamyklos užtikrina, kad vilnai ir plaukams taikoma bent 24 valandų </w:t>
            </w:r>
            <w:proofErr w:type="spellStart"/>
            <w:r>
              <w:rPr>
                <w:rFonts w:ascii="Times New Roman" w:hAnsi="Times New Roman" w:cs="Times New Roman"/>
                <w:lang w:val="lt-LT"/>
              </w:rPr>
              <w:t>fumigacija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formaldehido</w:t>
            </w:r>
            <w:proofErr w:type="spellEnd"/>
            <w:r>
              <w:rPr>
                <w:rFonts w:ascii="Times New Roman" w:hAnsi="Times New Roman" w:cs="Times New Roman"/>
                <w:lang w:val="lt-LT"/>
              </w:rPr>
              <w:t xml:space="preserve"> garuose hermetiškoje kameroje?</w:t>
            </w:r>
          </w:p>
        </w:tc>
        <w:tc>
          <w:tcPr>
            <w:tcW w:w="3097" w:type="dxa"/>
            <w:tcBorders>
              <w:top w:val="single" w:sz="4" w:space="0" w:color="000000"/>
              <w:left w:val="single" w:sz="4" w:space="0" w:color="000000"/>
              <w:bottom w:val="single" w:sz="4" w:space="0" w:color="000000"/>
              <w:right w:val="single" w:sz="4" w:space="0" w:color="000000"/>
            </w:tcBorders>
          </w:tcPr>
          <w:p w14:paraId="6E09821D" w14:textId="77777777" w:rsidR="006D012D" w:rsidRDefault="006D012D" w:rsidP="0013754F">
            <w:pPr>
              <w:pStyle w:val="Default"/>
              <w:jc w:val="both"/>
              <w:rPr>
                <w:rFonts w:ascii="Times New Roman" w:hAnsi="Times New Roman" w:cs="Times New Roman"/>
                <w:sz w:val="20"/>
                <w:szCs w:val="20"/>
              </w:rPr>
            </w:pPr>
            <w:hyperlink r:id="rId1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B dalies b punkto ii papunktis</w:t>
            </w:r>
          </w:p>
        </w:tc>
        <w:tc>
          <w:tcPr>
            <w:tcW w:w="683" w:type="dxa"/>
            <w:tcBorders>
              <w:top w:val="single" w:sz="4" w:space="0" w:color="000000"/>
              <w:left w:val="single" w:sz="4" w:space="0" w:color="000000"/>
              <w:bottom w:val="single" w:sz="4" w:space="0" w:color="000000"/>
              <w:right w:val="single" w:sz="4" w:space="0" w:color="000000"/>
            </w:tcBorders>
          </w:tcPr>
          <w:p w14:paraId="7DD18A31"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AAF7D26"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96104AD"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9FD53F0"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1784A8D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5FCF637"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147E755F"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vilnos ir plaukų (išskyrus kiaulinius) plovimo gamyklos užtikrina, kad vilna ir plaukai plaunami pramoniniu plovimu, kai vilna ir plaukai pamerkiami į 60–70 °C vandenyje tirpų ploviklį?</w:t>
            </w:r>
          </w:p>
        </w:tc>
        <w:tc>
          <w:tcPr>
            <w:tcW w:w="3097" w:type="dxa"/>
            <w:tcBorders>
              <w:top w:val="single" w:sz="4" w:space="0" w:color="000000"/>
              <w:left w:val="single" w:sz="4" w:space="0" w:color="000000"/>
              <w:bottom w:val="single" w:sz="4" w:space="0" w:color="000000"/>
              <w:right w:val="single" w:sz="4" w:space="0" w:color="000000"/>
            </w:tcBorders>
          </w:tcPr>
          <w:p w14:paraId="52698BBC" w14:textId="77777777" w:rsidR="006D012D" w:rsidRDefault="006D012D" w:rsidP="0013754F">
            <w:pPr>
              <w:pStyle w:val="Default"/>
              <w:jc w:val="both"/>
              <w:rPr>
                <w:rFonts w:ascii="Times New Roman" w:hAnsi="Times New Roman" w:cs="Times New Roman"/>
                <w:sz w:val="20"/>
                <w:szCs w:val="20"/>
              </w:rPr>
            </w:pPr>
            <w:hyperlink r:id="rId19">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B dalies b punkto iii papunktis</w:t>
            </w:r>
          </w:p>
        </w:tc>
        <w:tc>
          <w:tcPr>
            <w:tcW w:w="683" w:type="dxa"/>
            <w:tcBorders>
              <w:top w:val="single" w:sz="4" w:space="0" w:color="000000"/>
              <w:left w:val="single" w:sz="4" w:space="0" w:color="000000"/>
              <w:bottom w:val="single" w:sz="4" w:space="0" w:color="000000"/>
              <w:right w:val="single" w:sz="4" w:space="0" w:color="000000"/>
            </w:tcBorders>
          </w:tcPr>
          <w:p w14:paraId="36229D6A"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8FDB77C"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874F0ED"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94BAEFA"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28E8466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74D9818"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6D0AAB5"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 xml:space="preserve">Ar vilnos ir plaukų (išskyrus kiaulinius) plovimo gamyklos užtikrina, kad vilna ir plaukai laikomi (į laikymo laiką gali būti įskaitytas vežimo laikas) aštuonias </w:t>
            </w:r>
          </w:p>
          <w:p w14:paraId="1E31C15D"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dienas 37 °C, 28 dienas 18 °C arba 120 dienų 4 °C temperatūroje?</w:t>
            </w:r>
          </w:p>
        </w:tc>
        <w:tc>
          <w:tcPr>
            <w:tcW w:w="3097" w:type="dxa"/>
            <w:tcBorders>
              <w:top w:val="single" w:sz="4" w:space="0" w:color="000000"/>
              <w:left w:val="single" w:sz="4" w:space="0" w:color="000000"/>
              <w:bottom w:val="single" w:sz="4" w:space="0" w:color="000000"/>
              <w:right w:val="single" w:sz="4" w:space="0" w:color="000000"/>
            </w:tcBorders>
          </w:tcPr>
          <w:p w14:paraId="75D3DDEE" w14:textId="77777777" w:rsidR="006D012D" w:rsidRDefault="006D012D" w:rsidP="0013754F">
            <w:pPr>
              <w:pStyle w:val="Default"/>
              <w:jc w:val="both"/>
              <w:rPr>
                <w:rFonts w:ascii="Times New Roman" w:hAnsi="Times New Roman" w:cs="Times New Roman"/>
                <w:sz w:val="20"/>
                <w:szCs w:val="20"/>
              </w:rPr>
            </w:pPr>
            <w:hyperlink r:id="rId20">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B dalies b punkto iv papunktis</w:t>
            </w:r>
          </w:p>
        </w:tc>
        <w:tc>
          <w:tcPr>
            <w:tcW w:w="683" w:type="dxa"/>
            <w:tcBorders>
              <w:top w:val="single" w:sz="4" w:space="0" w:color="000000"/>
              <w:left w:val="single" w:sz="4" w:space="0" w:color="000000"/>
              <w:bottom w:val="single" w:sz="4" w:space="0" w:color="000000"/>
              <w:right w:val="single" w:sz="4" w:space="0" w:color="000000"/>
            </w:tcBorders>
          </w:tcPr>
          <w:p w14:paraId="5BF5E8CC"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3F0C556"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6CF24F2"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3C9344E"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0DEEE5E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1E12AB0"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662FA343" w14:textId="77777777" w:rsidR="006D012D" w:rsidRDefault="006D012D" w:rsidP="0013754F">
            <w:pPr>
              <w:spacing w:line="240" w:lineRule="auto"/>
              <w:rPr>
                <w:rFonts w:ascii="Times New Roman" w:hAnsi="Times New Roman" w:cs="Times New Roman"/>
                <w:lang w:val="lt-LT"/>
              </w:rPr>
            </w:pPr>
            <w:r>
              <w:rPr>
                <w:rFonts w:ascii="Times New Roman" w:hAnsi="Times New Roman" w:cs="Times New Roman"/>
                <w:lang w:val="lt-LT"/>
              </w:rPr>
              <w:t>Ar plunksnų, plunksnų dalių ir pūkų plovimo gamyklos užtikrina, kad plunksnos, plunksnų dalys ir pūkai apdoroti karštų garų srove 100 °C temperatūroje bent 30 minučių?</w:t>
            </w:r>
          </w:p>
        </w:tc>
        <w:tc>
          <w:tcPr>
            <w:tcW w:w="3097" w:type="dxa"/>
            <w:tcBorders>
              <w:top w:val="single" w:sz="4" w:space="0" w:color="000000"/>
              <w:left w:val="single" w:sz="4" w:space="0" w:color="000000"/>
              <w:bottom w:val="single" w:sz="4" w:space="0" w:color="000000"/>
              <w:right w:val="single" w:sz="4" w:space="0" w:color="000000"/>
            </w:tcBorders>
          </w:tcPr>
          <w:p w14:paraId="4C972EF6" w14:textId="77777777" w:rsidR="006D012D" w:rsidRDefault="006D012D" w:rsidP="0013754F">
            <w:pPr>
              <w:pStyle w:val="Default"/>
              <w:jc w:val="both"/>
              <w:rPr>
                <w:rFonts w:ascii="Times New Roman" w:hAnsi="Times New Roman" w:cs="Times New Roman"/>
                <w:sz w:val="20"/>
                <w:szCs w:val="20"/>
              </w:rPr>
            </w:pPr>
            <w:hyperlink r:id="rId21">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VII skyriaus, C dalis</w:t>
            </w:r>
          </w:p>
        </w:tc>
        <w:tc>
          <w:tcPr>
            <w:tcW w:w="683" w:type="dxa"/>
            <w:tcBorders>
              <w:top w:val="single" w:sz="4" w:space="0" w:color="000000"/>
              <w:left w:val="single" w:sz="4" w:space="0" w:color="000000"/>
              <w:bottom w:val="single" w:sz="4" w:space="0" w:color="000000"/>
              <w:right w:val="single" w:sz="4" w:space="0" w:color="000000"/>
            </w:tcBorders>
          </w:tcPr>
          <w:p w14:paraId="5EF1633D"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D790D20"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7F96907"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63F1AAC" w14:textId="77777777" w:rsidR="006D012D" w:rsidRDefault="006D012D" w:rsidP="0013754F">
            <w:pPr>
              <w:pStyle w:val="Default"/>
              <w:snapToGrid w:val="0"/>
              <w:jc w:val="both"/>
              <w:rPr>
                <w:rFonts w:ascii="Times New Roman" w:hAnsi="Times New Roman" w:cs="Times New Roman"/>
                <w:iCs/>
                <w:sz w:val="20"/>
                <w:szCs w:val="20"/>
              </w:rPr>
            </w:pPr>
          </w:p>
        </w:tc>
      </w:tr>
      <w:tr w:rsidR="006D012D" w14:paraId="20E2EDE1"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20F63884" w14:textId="77777777" w:rsidR="006D012D" w:rsidRDefault="006D012D" w:rsidP="0013754F">
            <w:pPr>
              <w:pStyle w:val="Default"/>
              <w:jc w:val="both"/>
              <w:rPr>
                <w:rFonts w:ascii="Times New Roman" w:hAnsi="Times New Roman" w:cs="Times New Roman"/>
                <w:sz w:val="20"/>
                <w:szCs w:val="20"/>
              </w:rPr>
            </w:pPr>
            <w:r>
              <w:rPr>
                <w:rFonts w:ascii="Times New Roman" w:hAnsi="Times New Roman" w:cs="Times New Roman"/>
                <w:b/>
                <w:bCs/>
                <w:sz w:val="20"/>
                <w:szCs w:val="20"/>
              </w:rPr>
              <w:t>SPECIALIEJI BITININKYSTĖS ŠALUTINIAMS PRODUKTAMS TAIKOMI REIKALAVIMAI</w:t>
            </w:r>
          </w:p>
        </w:tc>
      </w:tr>
      <w:tr w:rsidR="006D012D" w14:paraId="6A6D6B3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CCCA6FB" w14:textId="77777777" w:rsidR="006D012D" w:rsidRDefault="006D012D" w:rsidP="006D012D">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122EC7A6" w14:textId="77777777" w:rsidR="006D012D" w:rsidRDefault="006D012D" w:rsidP="0013754F">
            <w:pPr>
              <w:spacing w:line="240" w:lineRule="auto"/>
            </w:pPr>
            <w:r>
              <w:rPr>
                <w:rFonts w:ascii="Times New Roman" w:hAnsi="Times New Roman" w:cs="Times New Roman"/>
                <w:lang w:val="lt-LT"/>
              </w:rPr>
              <w:t xml:space="preserve">Ar bitininkystei skirti šalutiniai bitininkystės produktai yra iš teritorijos, kuriai netaikomas draudimas dėl bičių amerikinio puvinio, </w:t>
            </w:r>
            <w:proofErr w:type="spellStart"/>
            <w:r>
              <w:rPr>
                <w:rFonts w:ascii="Times New Roman" w:hAnsi="Times New Roman" w:cs="Times New Roman"/>
                <w:lang w:val="lt-LT"/>
              </w:rPr>
              <w:t>akariozės</w:t>
            </w:r>
            <w:proofErr w:type="spellEnd"/>
            <w:r>
              <w:rPr>
                <w:rFonts w:ascii="Times New Roman" w:hAnsi="Times New Roman" w:cs="Times New Roman"/>
                <w:lang w:val="lt-LT"/>
              </w:rPr>
              <w:t xml:space="preserve">, mažojo avilių vabalo ir </w:t>
            </w:r>
            <w:proofErr w:type="spellStart"/>
            <w:r>
              <w:rPr>
                <w:rFonts w:ascii="Times New Roman" w:hAnsi="Times New Roman" w:cs="Times New Roman"/>
                <w:i/>
                <w:iCs/>
                <w:lang w:val="lt-LT"/>
              </w:rPr>
              <w:t>Tropilaelaps</w:t>
            </w:r>
            <w:proofErr w:type="spellEnd"/>
            <w:r>
              <w:rPr>
                <w:rFonts w:ascii="Times New Roman" w:hAnsi="Times New Roman" w:cs="Times New Roman"/>
                <w:lang w:val="lt-LT"/>
              </w:rPr>
              <w:t xml:space="preserve"> erkės?</w:t>
            </w:r>
          </w:p>
        </w:tc>
        <w:tc>
          <w:tcPr>
            <w:tcW w:w="3097" w:type="dxa"/>
            <w:tcBorders>
              <w:top w:val="single" w:sz="4" w:space="0" w:color="000000"/>
              <w:left w:val="single" w:sz="4" w:space="0" w:color="000000"/>
              <w:bottom w:val="single" w:sz="4" w:space="0" w:color="000000"/>
              <w:right w:val="single" w:sz="4" w:space="0" w:color="000000"/>
            </w:tcBorders>
          </w:tcPr>
          <w:p w14:paraId="27ADE454" w14:textId="77777777" w:rsidR="006D012D" w:rsidRDefault="006D012D" w:rsidP="0013754F">
            <w:pPr>
              <w:pStyle w:val="Default"/>
              <w:jc w:val="both"/>
              <w:rPr>
                <w:rFonts w:ascii="Times New Roman" w:hAnsi="Times New Roman" w:cs="Times New Roman"/>
                <w:sz w:val="20"/>
                <w:szCs w:val="20"/>
              </w:rPr>
            </w:pPr>
            <w:hyperlink r:id="rId2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IX skyriaus, 1 punktas</w:t>
            </w:r>
          </w:p>
        </w:tc>
        <w:tc>
          <w:tcPr>
            <w:tcW w:w="683" w:type="dxa"/>
            <w:tcBorders>
              <w:top w:val="single" w:sz="4" w:space="0" w:color="000000"/>
              <w:left w:val="single" w:sz="4" w:space="0" w:color="000000"/>
              <w:bottom w:val="single" w:sz="4" w:space="0" w:color="000000"/>
              <w:right w:val="single" w:sz="4" w:space="0" w:color="000000"/>
            </w:tcBorders>
          </w:tcPr>
          <w:p w14:paraId="551D26C2" w14:textId="77777777" w:rsidR="006D012D" w:rsidRDefault="006D012D"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A64BBD0" w14:textId="77777777" w:rsidR="006D012D" w:rsidRDefault="006D012D"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5860482" w14:textId="77777777" w:rsidR="006D012D" w:rsidRDefault="006D012D"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167E948" w14:textId="77777777" w:rsidR="006D012D" w:rsidRDefault="006D012D" w:rsidP="0013754F">
            <w:pPr>
              <w:pStyle w:val="Default"/>
              <w:snapToGrid w:val="0"/>
              <w:jc w:val="both"/>
              <w:rPr>
                <w:rFonts w:ascii="Times New Roman" w:hAnsi="Times New Roman" w:cs="Times New Roman"/>
                <w:iCs/>
                <w:sz w:val="20"/>
                <w:szCs w:val="20"/>
              </w:rPr>
            </w:pPr>
          </w:p>
        </w:tc>
      </w:tr>
    </w:tbl>
    <w:p w14:paraId="02B7D536" w14:textId="77777777" w:rsidR="006D012D" w:rsidRDefault="006D012D" w:rsidP="006D012D">
      <w:pPr>
        <w:pStyle w:val="bodytext"/>
        <w:spacing w:before="0" w:after="0" w:line="240" w:lineRule="auto"/>
        <w:rPr>
          <w:sz w:val="20"/>
          <w:szCs w:val="20"/>
        </w:rPr>
      </w:pPr>
    </w:p>
    <w:p w14:paraId="617B281F" w14:textId="77777777" w:rsidR="006D012D" w:rsidRDefault="006D012D" w:rsidP="006D012D">
      <w:pPr>
        <w:pStyle w:val="ListParagraph"/>
        <w:numPr>
          <w:ilvl w:val="0"/>
          <w:numId w:val="2"/>
        </w:numPr>
        <w:spacing w:line="240" w:lineRule="auto"/>
        <w:textAlignment w:val="auto"/>
        <w:rPr>
          <w:rFonts w:ascii="Times New Roman" w:hAnsi="Times New Roman" w:cs="Times New Roman"/>
        </w:rPr>
      </w:pPr>
      <w:r>
        <w:rPr>
          <w:rFonts w:ascii="Times New Roman" w:hAnsi="Times New Roman" w:cs="Times New Roman"/>
        </w:rPr>
        <w:t xml:space="preserve">2011 m. vasario 25 d. Komisijos reglamento (ES) Nr. 142/2011, kuriuo įgyvendinami Europos Parlamento ir Tarybos reglamentas (EB) Nr. 1069/2009, kuriuo nustatomos žmonėms vartoti neskirtų šalutinių gyvūninių produktų ir jų gaminių sveikumo taisyklės, ir Tarybos direktyva 97/78/EB dėl tam tikrų mėginių ir priemonių, </w:t>
      </w:r>
      <w:r>
        <w:rPr>
          <w:rFonts w:ascii="Times New Roman" w:hAnsi="Times New Roman" w:cs="Times New Roman"/>
        </w:rPr>
        <w:lastRenderedPageBreak/>
        <w:t>kuriems netaikomi veterinariniai tikrinimai pasienyje pagal tą direktyvą.</w:t>
      </w:r>
    </w:p>
    <w:p w14:paraId="4B4FFC5D" w14:textId="43D44686" w:rsidR="008C79E6" w:rsidRDefault="006D012D" w:rsidP="006D012D">
      <w:hyperlink r:id="rId23">
        <w:r>
          <w:rPr>
            <w:rStyle w:val="Hyperlink"/>
            <w:rFonts w:ascii="Times New Roman" w:hAnsi="Times New Roman" w:cs="Times New Roman"/>
          </w:rPr>
          <w:t>https://eur-lex.europa.eu/legal-content/EN/TXT/?uri=CELEX%3A02011R0142-20220417&amp;qid=1695124207395</w:t>
        </w:r>
      </w:hyperlink>
      <w:r>
        <w:rPr>
          <w:rFonts w:ascii="Times New Roman" w:hAnsi="Times New Roman" w:cs="Times New Roman"/>
        </w:rPr>
        <w:t xml:space="preserve"> </w:t>
      </w:r>
    </w:p>
    <w:sectPr w:rsidR="008C79E6" w:rsidSect="006D012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3A19"/>
    <w:multiLevelType w:val="multilevel"/>
    <w:tmpl w:val="FC529F56"/>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690E05A0"/>
    <w:multiLevelType w:val="multilevel"/>
    <w:tmpl w:val="01323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39744232">
    <w:abstractNumId w:val="0"/>
  </w:num>
  <w:num w:numId="2" w16cid:durableId="193011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2D"/>
    <w:rsid w:val="00092DA5"/>
    <w:rsid w:val="006D012D"/>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6461"/>
  <w15:chartTrackingRefBased/>
  <w15:docId w15:val="{6210839C-1382-4719-8827-6A9163CF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2D"/>
    <w:pPr>
      <w:widowControl w:val="0"/>
      <w:suppressAutoHyphens/>
      <w:spacing w:after="0" w:line="360" w:lineRule="atLeast"/>
      <w:jc w:val="both"/>
      <w:textAlignment w:val="baseline"/>
    </w:pPr>
    <w:rPr>
      <w:rFonts w:ascii="Univers" w:eastAsia="Aptos" w:hAnsi="Univers" w:cs="Univers"/>
      <w:kern w:val="0"/>
      <w:sz w:val="20"/>
      <w:szCs w:val="20"/>
      <w:lang w:val="nl-NL" w:eastAsia="zh-CN"/>
      <w14:ligatures w14:val="none"/>
    </w:rPr>
  </w:style>
  <w:style w:type="paragraph" w:styleId="Heading1">
    <w:name w:val="heading 1"/>
    <w:basedOn w:val="Normal"/>
    <w:next w:val="Normal"/>
    <w:link w:val="Heading1Char"/>
    <w:uiPriority w:val="9"/>
    <w:qFormat/>
    <w:rsid w:val="006D0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12D"/>
    <w:rPr>
      <w:rFonts w:eastAsiaTheme="majorEastAsia" w:cstheme="majorBidi"/>
      <w:color w:val="272727" w:themeColor="text1" w:themeTint="D8"/>
    </w:rPr>
  </w:style>
  <w:style w:type="paragraph" w:styleId="Title">
    <w:name w:val="Title"/>
    <w:basedOn w:val="Normal"/>
    <w:next w:val="Normal"/>
    <w:link w:val="TitleChar"/>
    <w:uiPriority w:val="10"/>
    <w:qFormat/>
    <w:rsid w:val="006D0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12D"/>
    <w:pPr>
      <w:spacing w:before="160"/>
      <w:jc w:val="center"/>
    </w:pPr>
    <w:rPr>
      <w:i/>
      <w:iCs/>
      <w:color w:val="404040" w:themeColor="text1" w:themeTint="BF"/>
    </w:rPr>
  </w:style>
  <w:style w:type="character" w:customStyle="1" w:styleId="QuoteChar">
    <w:name w:val="Quote Char"/>
    <w:basedOn w:val="DefaultParagraphFont"/>
    <w:link w:val="Quote"/>
    <w:uiPriority w:val="29"/>
    <w:rsid w:val="006D012D"/>
    <w:rPr>
      <w:i/>
      <w:iCs/>
      <w:color w:val="404040" w:themeColor="text1" w:themeTint="BF"/>
    </w:rPr>
  </w:style>
  <w:style w:type="paragraph" w:styleId="ListParagraph">
    <w:name w:val="List Paragraph"/>
    <w:basedOn w:val="Normal"/>
    <w:qFormat/>
    <w:rsid w:val="006D012D"/>
    <w:pPr>
      <w:ind w:left="720"/>
      <w:contextualSpacing/>
    </w:pPr>
  </w:style>
  <w:style w:type="character" w:styleId="IntenseEmphasis">
    <w:name w:val="Intense Emphasis"/>
    <w:basedOn w:val="DefaultParagraphFont"/>
    <w:uiPriority w:val="21"/>
    <w:qFormat/>
    <w:rsid w:val="006D012D"/>
    <w:rPr>
      <w:i/>
      <w:iCs/>
      <w:color w:val="0F4761" w:themeColor="accent1" w:themeShade="BF"/>
    </w:rPr>
  </w:style>
  <w:style w:type="paragraph" w:styleId="IntenseQuote">
    <w:name w:val="Intense Quote"/>
    <w:basedOn w:val="Normal"/>
    <w:next w:val="Normal"/>
    <w:link w:val="IntenseQuoteChar"/>
    <w:uiPriority w:val="30"/>
    <w:qFormat/>
    <w:rsid w:val="006D0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12D"/>
    <w:rPr>
      <w:i/>
      <w:iCs/>
      <w:color w:val="0F4761" w:themeColor="accent1" w:themeShade="BF"/>
    </w:rPr>
  </w:style>
  <w:style w:type="character" w:styleId="IntenseReference">
    <w:name w:val="Intense Reference"/>
    <w:basedOn w:val="DefaultParagraphFont"/>
    <w:uiPriority w:val="32"/>
    <w:qFormat/>
    <w:rsid w:val="006D012D"/>
    <w:rPr>
      <w:b/>
      <w:bCs/>
      <w:smallCaps/>
      <w:color w:val="0F4761" w:themeColor="accent1" w:themeShade="BF"/>
      <w:spacing w:val="5"/>
    </w:rPr>
  </w:style>
  <w:style w:type="character" w:styleId="Hyperlink">
    <w:name w:val="Hyperlink"/>
    <w:rsid w:val="006D012D"/>
    <w:rPr>
      <w:color w:val="0000FF"/>
      <w:u w:val="single"/>
    </w:rPr>
  </w:style>
  <w:style w:type="paragraph" w:customStyle="1" w:styleId="bodytext">
    <w:name w:val="bodytext"/>
    <w:basedOn w:val="Normal"/>
    <w:qFormat/>
    <w:rsid w:val="006D012D"/>
    <w:pPr>
      <w:spacing w:before="100" w:after="100"/>
    </w:pPr>
    <w:rPr>
      <w:rFonts w:ascii="Times New Roman" w:hAnsi="Times New Roman" w:cs="Times New Roman"/>
      <w:sz w:val="24"/>
      <w:szCs w:val="24"/>
      <w:lang w:val="lt-LT"/>
    </w:rPr>
  </w:style>
  <w:style w:type="paragraph" w:customStyle="1" w:styleId="Default">
    <w:name w:val="Default"/>
    <w:qFormat/>
    <w:rsid w:val="006D012D"/>
    <w:pPr>
      <w:suppressAutoHyphens/>
      <w:autoSpaceDE w:val="0"/>
      <w:spacing w:after="0" w:line="240" w:lineRule="auto"/>
    </w:pPr>
    <w:rPr>
      <w:rFonts w:ascii="Aptos" w:eastAsia="Calibri" w:hAnsi="Aptos" w:cs="Aptos"/>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1R0142-20220417&amp;qid=1695124207395" TargetMode="External"/><Relationship Id="rId13" Type="http://schemas.openxmlformats.org/officeDocument/2006/relationships/hyperlink" Target="https://eur-lex.europa.eu/legal-content/EN/TXT/?uri=CELEX%3A02011R0142-20220417&amp;qid=1695124207395" TargetMode="External"/><Relationship Id="rId18" Type="http://schemas.openxmlformats.org/officeDocument/2006/relationships/hyperlink" Target="https://eur-lex.europa.eu/legal-content/EN/TXT/?uri=CELEX%3A02011R0142-20220417&amp;qid=1695124207395" TargetMode="External"/><Relationship Id="rId3" Type="http://schemas.openxmlformats.org/officeDocument/2006/relationships/settings" Target="settings.xml"/><Relationship Id="rId21" Type="http://schemas.openxmlformats.org/officeDocument/2006/relationships/hyperlink" Target="https://eur-lex.europa.eu/legal-content/EN/TXT/?uri=CELEX%3A02011R0142-20220417&amp;qid=1695124207395" TargetMode="External"/><Relationship Id="rId7" Type="http://schemas.openxmlformats.org/officeDocument/2006/relationships/hyperlink" Target="https://eur-lex.europa.eu/legal-content/EN/TXT/?uri=CELEX%3A02011R0142-20220417&amp;qid=1695124207395" TargetMode="External"/><Relationship Id="rId12" Type="http://schemas.openxmlformats.org/officeDocument/2006/relationships/hyperlink" Target="https://eur-lex.europa.eu/legal-content/EN/TXT/?uri=CELEX%3A02011R0142-20220417&amp;qid=1695124207395" TargetMode="External"/><Relationship Id="rId17" Type="http://schemas.openxmlformats.org/officeDocument/2006/relationships/hyperlink" Target="https://eur-lex.europa.eu/legal-content/EN/TXT/?uri=CELEX%3A02011R0142-20220417&amp;qid=16951242073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lex.europa.eu/legal-content/EN/TXT/?uri=CELEX%3A02011R0142-20220417&amp;qid=1695124207395" TargetMode="External"/><Relationship Id="rId20" Type="http://schemas.openxmlformats.org/officeDocument/2006/relationships/hyperlink" Target="https://eur-lex.europa.eu/legal-content/EN/TXT/?uri=CELEX%3A02011R0142-20220417&amp;qid=1695124207395" TargetMode="External"/><Relationship Id="rId1" Type="http://schemas.openxmlformats.org/officeDocument/2006/relationships/numbering" Target="numbering.xml"/><Relationship Id="rId6" Type="http://schemas.openxmlformats.org/officeDocument/2006/relationships/hyperlink" Target="https://eur-lex.europa.eu/legal-content/EN/TXT/?uri=CELEX%3A02011R0142-20220417&amp;qid=1695124207395" TargetMode="External"/><Relationship Id="rId11" Type="http://schemas.openxmlformats.org/officeDocument/2006/relationships/hyperlink" Target="https://eur-lex.europa.eu/legal-content/EN/TXT/?uri=CELEX%3A02011R0142-20220417&amp;qid=1695124207395" TargetMode="External"/><Relationship Id="rId24" Type="http://schemas.openxmlformats.org/officeDocument/2006/relationships/fontTable" Target="fontTable.xml"/><Relationship Id="rId5" Type="http://schemas.openxmlformats.org/officeDocument/2006/relationships/hyperlink" Target="https://eur-lex.europa.eu/legal-content/EN/TXT/?uri=CELEX%3A02011R0142-20220417&amp;qid=1695124207395" TargetMode="External"/><Relationship Id="rId15" Type="http://schemas.openxmlformats.org/officeDocument/2006/relationships/hyperlink" Target="https://eur-lex.europa.eu/legal-content/EN/TXT/?uri=CELEX%3A02011R0142-20220417&amp;qid=1695124207395" TargetMode="External"/><Relationship Id="rId23" Type="http://schemas.openxmlformats.org/officeDocument/2006/relationships/hyperlink" Target="https://eur-lex.europa.eu/legal-content/EN/TXT/?uri=CELEX%3A02011R0142-20220417&amp;qid=1695124207395" TargetMode="External"/><Relationship Id="rId10" Type="http://schemas.openxmlformats.org/officeDocument/2006/relationships/hyperlink" Target="https://eur-lex.europa.eu/legal-content/EN/TXT/?uri=CELEX%3A02011R0142-20220417&amp;qid=1695124207395" TargetMode="External"/><Relationship Id="rId19" Type="http://schemas.openxmlformats.org/officeDocument/2006/relationships/hyperlink" Target="https://eur-lex.europa.eu/legal-content/EN/TXT/?uri=CELEX%3A02011R0142-20220417&amp;qid=1695124207395" TargetMode="Externa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hyperlink" Target="https://eur-lex.europa.eu/legal-content/EN/TXT/?uri=CELEX%3A02011R0142-20220417&amp;qid=1695124207395" TargetMode="External"/><Relationship Id="rId22" Type="http://schemas.openxmlformats.org/officeDocument/2006/relationships/hyperlink" Target="https://eur-lex.europa.eu/legal-content/EN/TXT/?uri=CELEX%3A02011R0142-20220417&amp;qid=1695124207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6673</Words>
  <Characters>3804</Characters>
  <Application>Microsoft Office Word</Application>
  <DocSecurity>0</DocSecurity>
  <Lines>31</Lines>
  <Paragraphs>20</Paragraphs>
  <ScaleCrop>false</ScaleCrop>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2025-04-29T05:52:00Z</dcterms:created>
  <dcterms:modified xsi:type="dcterms:W3CDTF">2025-04-29T05:53:00Z</dcterms:modified>
</cp:coreProperties>
</file>