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453"/>
        <w:gridCol w:w="4453"/>
      </w:tblGrid>
      <w:tr w:rsidR="005A094F" w14:paraId="66E646CE" w14:textId="77777777" w:rsidTr="005A094F">
        <w:tc>
          <w:tcPr>
            <w:tcW w:w="4453" w:type="dxa"/>
          </w:tcPr>
          <w:p w14:paraId="0340130D" w14:textId="77777777" w:rsidR="005A094F" w:rsidRDefault="005A094F">
            <w:pPr>
              <w:autoSpaceDE w:val="0"/>
              <w:autoSpaceDN w:val="0"/>
              <w:adjustRightInd w:val="0"/>
              <w:spacing w:line="256" w:lineRule="auto"/>
              <w:jc w:val="both"/>
              <w:rPr>
                <w:rFonts w:ascii="Times New Roman" w:hAnsi="Times New Roman"/>
                <w:kern w:val="2"/>
                <w:sz w:val="24"/>
                <w:szCs w:val="24"/>
                <w:lang w:val="lt-LT" w:eastAsia="lt-LT"/>
                <w14:ligatures w14:val="standardContextual"/>
              </w:rPr>
            </w:pPr>
          </w:p>
        </w:tc>
        <w:tc>
          <w:tcPr>
            <w:tcW w:w="4453" w:type="dxa"/>
          </w:tcPr>
          <w:p w14:paraId="5D76DBA9" w14:textId="77777777" w:rsidR="005A094F" w:rsidRDefault="005A094F">
            <w:pPr>
              <w:autoSpaceDE w:val="0"/>
              <w:autoSpaceDN w:val="0"/>
              <w:adjustRightInd w:val="0"/>
              <w:spacing w:line="256" w:lineRule="auto"/>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Kokybės sistemos programos KT-2-4-22</w:t>
            </w:r>
          </w:p>
          <w:p w14:paraId="33D5D5B6" w14:textId="77777777" w:rsidR="005A094F" w:rsidRDefault="005A094F">
            <w:pPr>
              <w:spacing w:line="256" w:lineRule="auto"/>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 xml:space="preserve"> „</w:t>
            </w:r>
            <w:r>
              <w:rPr>
                <w:rFonts w:ascii="Times New Roman" w:hAnsi="Times New Roman"/>
                <w:kern w:val="2"/>
                <w:sz w:val="24"/>
                <w:szCs w:val="24"/>
                <w:lang w:val="lt-LT"/>
                <w14:ligatures w14:val="standardContextual"/>
              </w:rPr>
              <w:t>Spermos surinkimo ir genetinės medžiagos produktų saugojimo centrų valstybinė veterinarinė kontrolė</w:t>
            </w:r>
            <w:r>
              <w:rPr>
                <w:rFonts w:ascii="Times New Roman" w:hAnsi="Times New Roman"/>
                <w:kern w:val="2"/>
                <w:sz w:val="24"/>
                <w:szCs w:val="24"/>
                <w:lang w:val="lt-LT" w:eastAsia="lt-LT"/>
                <w14:ligatures w14:val="standardContextual"/>
              </w:rPr>
              <w:t xml:space="preserve">“ </w:t>
            </w:r>
          </w:p>
          <w:p w14:paraId="2D746F80" w14:textId="77777777" w:rsidR="005A094F" w:rsidRDefault="005A094F">
            <w:pPr>
              <w:spacing w:line="256" w:lineRule="auto"/>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4 priedas</w:t>
            </w:r>
          </w:p>
        </w:tc>
      </w:tr>
    </w:tbl>
    <w:p w14:paraId="2B374DB7" w14:textId="77777777" w:rsidR="005A094F" w:rsidRDefault="005A094F" w:rsidP="005A094F">
      <w:pPr>
        <w:ind w:firstLine="5102"/>
        <w:jc w:val="center"/>
        <w:rPr>
          <w:rFonts w:ascii="Times New Roman" w:hAnsi="Times New Roman"/>
          <w:b/>
          <w:bCs/>
          <w:sz w:val="22"/>
          <w:szCs w:val="22"/>
        </w:rPr>
      </w:pPr>
    </w:p>
    <w:p w14:paraId="03AD2925" w14:textId="77777777" w:rsidR="005A094F" w:rsidRDefault="005A094F" w:rsidP="005A094F">
      <w:pPr>
        <w:tabs>
          <w:tab w:val="left" w:pos="0"/>
        </w:tabs>
        <w:jc w:val="center"/>
        <w:rPr>
          <w:rFonts w:ascii="Times New Roman" w:hAnsi="Times New Roman"/>
          <w:b/>
          <w:lang w:val="pt-BR"/>
        </w:rPr>
      </w:pPr>
      <w:r>
        <w:rPr>
          <w:rFonts w:ascii="Times New Roman" w:hAnsi="Times New Roman"/>
          <w:b/>
          <w:lang w:val="pt-BR"/>
        </w:rPr>
        <w:t>SPERMOS SURINKIMO CENTRO</w:t>
      </w:r>
      <w:r>
        <w:rPr>
          <w:rFonts w:ascii="Arial Unicode MS" w:hAnsi="Arial Unicode MS"/>
          <w:sz w:val="21"/>
          <w:szCs w:val="21"/>
          <w:shd w:val="clear" w:color="auto" w:fill="FFFFFF"/>
          <w:lang w:val="pt-BR"/>
        </w:rPr>
        <w:t xml:space="preserve"> </w:t>
      </w:r>
      <w:r>
        <w:rPr>
          <w:rFonts w:ascii="Times New Roman" w:hAnsi="Times New Roman"/>
          <w:b/>
          <w:lang w:val="pt-BR"/>
        </w:rPr>
        <w:t>KONTROLINIS KLAUSIMYNAS</w:t>
      </w:r>
    </w:p>
    <w:p w14:paraId="251024BE" w14:textId="77777777" w:rsidR="005A094F" w:rsidRDefault="005A094F" w:rsidP="005A094F">
      <w:pPr>
        <w:tabs>
          <w:tab w:val="left" w:pos="0"/>
        </w:tabs>
        <w:jc w:val="center"/>
        <w:rPr>
          <w:rFonts w:ascii="Times New Roman" w:hAnsi="Times New Roman"/>
          <w:b/>
          <w:bCs/>
          <w:sz w:val="24"/>
          <w:szCs w:val="24"/>
        </w:rPr>
      </w:pPr>
    </w:p>
    <w:tbl>
      <w:tblPr>
        <w:tblW w:w="9780" w:type="dxa"/>
        <w:tblInd w:w="-34" w:type="dxa"/>
        <w:tblLayout w:type="fixed"/>
        <w:tblLook w:val="04A0" w:firstRow="1" w:lastRow="0" w:firstColumn="1" w:lastColumn="0" w:noHBand="0" w:noVBand="1"/>
      </w:tblPr>
      <w:tblGrid>
        <w:gridCol w:w="567"/>
        <w:gridCol w:w="2551"/>
        <w:gridCol w:w="2126"/>
        <w:gridCol w:w="709"/>
        <w:gridCol w:w="567"/>
        <w:gridCol w:w="1276"/>
        <w:gridCol w:w="709"/>
        <w:gridCol w:w="1275"/>
      </w:tblGrid>
      <w:tr w:rsidR="005A094F" w14:paraId="631DAA90" w14:textId="77777777" w:rsidTr="005A094F">
        <w:trPr>
          <w:trHeight w:val="542"/>
        </w:trPr>
        <w:tc>
          <w:tcPr>
            <w:tcW w:w="568" w:type="dxa"/>
            <w:vMerge w:val="restart"/>
            <w:tcBorders>
              <w:top w:val="single" w:sz="4" w:space="0" w:color="000000"/>
              <w:left w:val="single" w:sz="4" w:space="0" w:color="000000"/>
              <w:bottom w:val="single" w:sz="4" w:space="0" w:color="000000"/>
              <w:right w:val="single" w:sz="4" w:space="0" w:color="000000"/>
            </w:tcBorders>
            <w:hideMark/>
          </w:tcPr>
          <w:p w14:paraId="775E5E9E" w14:textId="77777777" w:rsidR="005A094F" w:rsidRDefault="005A094F">
            <w:pPr>
              <w:widowControl w:val="0"/>
              <w:spacing w:line="256" w:lineRule="auto"/>
              <w:rPr>
                <w:rFonts w:ascii="Times New Roman" w:hAnsi="Times New Roman"/>
                <w:b/>
                <w:kern w:val="2"/>
                <w14:ligatures w14:val="standardContextual"/>
              </w:rPr>
            </w:pPr>
            <w:bookmarkStart w:id="0" w:name="_Hlk167114827"/>
            <w:r>
              <w:rPr>
                <w:rFonts w:ascii="Times New Roman" w:hAnsi="Times New Roman"/>
                <w:b/>
                <w:kern w:val="2"/>
                <w14:ligatures w14:val="standardContextual"/>
              </w:rPr>
              <w:t>Eil. Nr.</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14:paraId="7A60CC2E" w14:textId="77777777" w:rsidR="005A094F" w:rsidRDefault="005A094F">
            <w:pPr>
              <w:widowControl w:val="0"/>
              <w:spacing w:line="256" w:lineRule="auto"/>
              <w:jc w:val="center"/>
              <w:rPr>
                <w:rFonts w:ascii="Times New Roman" w:hAnsi="Times New Roman"/>
                <w:b/>
                <w:kern w:val="2"/>
                <w:lang w:eastAsia="en-US"/>
                <w14:ligatures w14:val="standardContextual"/>
              </w:rPr>
            </w:pPr>
            <w:r>
              <w:rPr>
                <w:rFonts w:ascii="Times New Roman" w:hAnsi="Times New Roman"/>
                <w:b/>
                <w:kern w:val="2"/>
                <w14:ligatures w14:val="standardContextual"/>
              </w:rPr>
              <w:t>Reikalavimas</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14:paraId="6E85F96B"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bCs/>
                <w:kern w:val="2"/>
                <w14:ligatures w14:val="standardContextual"/>
              </w:rPr>
              <w:t>Teisės akto straipsnis, dalis, punktas</w:t>
            </w:r>
          </w:p>
        </w:tc>
        <w:tc>
          <w:tcPr>
            <w:tcW w:w="2552" w:type="dxa"/>
            <w:gridSpan w:val="3"/>
            <w:tcBorders>
              <w:top w:val="single" w:sz="4" w:space="0" w:color="000000"/>
              <w:left w:val="single" w:sz="4" w:space="0" w:color="000000"/>
              <w:bottom w:val="single" w:sz="4" w:space="0" w:color="000000"/>
              <w:right w:val="single" w:sz="4" w:space="0" w:color="000000"/>
            </w:tcBorders>
            <w:hideMark/>
          </w:tcPr>
          <w:p w14:paraId="24BE6FB0"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Atitikties vertinimas</w:t>
            </w:r>
          </w:p>
        </w:tc>
        <w:tc>
          <w:tcPr>
            <w:tcW w:w="709" w:type="dxa"/>
            <w:tcBorders>
              <w:top w:val="single" w:sz="4" w:space="0" w:color="000000"/>
              <w:left w:val="single" w:sz="4" w:space="0" w:color="000000"/>
              <w:bottom w:val="single" w:sz="4" w:space="0" w:color="000000"/>
              <w:right w:val="single" w:sz="4" w:space="0" w:color="000000"/>
            </w:tcBorders>
            <w:hideMark/>
          </w:tcPr>
          <w:p w14:paraId="38CF897B"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Pastabos</w:t>
            </w:r>
          </w:p>
        </w:tc>
        <w:tc>
          <w:tcPr>
            <w:tcW w:w="1275" w:type="dxa"/>
            <w:tcBorders>
              <w:top w:val="single" w:sz="4" w:space="0" w:color="000000"/>
              <w:left w:val="single" w:sz="4" w:space="0" w:color="000000"/>
              <w:bottom w:val="single" w:sz="4" w:space="0" w:color="000000"/>
              <w:right w:val="single" w:sz="4" w:space="0" w:color="000000"/>
            </w:tcBorders>
            <w:hideMark/>
          </w:tcPr>
          <w:p w14:paraId="0CDA05A9"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Reikalavi</w:t>
            </w:r>
          </w:p>
          <w:p w14:paraId="2317CCEF"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mo aprašymas</w:t>
            </w:r>
          </w:p>
        </w:tc>
      </w:tr>
      <w:tr w:rsidR="005A094F" w14:paraId="20C4CF5A" w14:textId="77777777" w:rsidTr="005A094F">
        <w:trPr>
          <w:trHeight w:val="542"/>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042549EE" w14:textId="77777777" w:rsidR="005A094F" w:rsidRDefault="005A094F">
            <w:pPr>
              <w:spacing w:line="256" w:lineRule="auto"/>
              <w:rPr>
                <w:rFonts w:ascii="Times New Roman" w:hAnsi="Times New Roman"/>
                <w:b/>
                <w:kern w:val="2"/>
                <w14:ligatures w14:val="standardContextua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591ED5B" w14:textId="77777777" w:rsidR="005A094F" w:rsidRDefault="005A094F">
            <w:pPr>
              <w:spacing w:line="256" w:lineRule="auto"/>
              <w:rPr>
                <w:rFonts w:ascii="Times New Roman" w:hAnsi="Times New Roman"/>
                <w:b/>
                <w:kern w:val="2"/>
                <w:lang w:eastAsia="en-US"/>
                <w14:ligatures w14:val="standardContextual"/>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4B70E1" w14:textId="77777777" w:rsidR="005A094F" w:rsidRDefault="005A094F">
            <w:pPr>
              <w:spacing w:line="256" w:lineRule="auto"/>
              <w:rPr>
                <w:rFonts w:ascii="Times New Roman" w:hAnsi="Times New Roman"/>
                <w:b/>
                <w:kern w:val="2"/>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hideMark/>
          </w:tcPr>
          <w:p w14:paraId="6B366A1C"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taip</w:t>
            </w:r>
          </w:p>
        </w:tc>
        <w:tc>
          <w:tcPr>
            <w:tcW w:w="567" w:type="dxa"/>
            <w:tcBorders>
              <w:top w:val="single" w:sz="4" w:space="0" w:color="000000"/>
              <w:left w:val="single" w:sz="4" w:space="0" w:color="000000"/>
              <w:bottom w:val="single" w:sz="4" w:space="0" w:color="000000"/>
              <w:right w:val="single" w:sz="4" w:space="0" w:color="000000"/>
            </w:tcBorders>
            <w:hideMark/>
          </w:tcPr>
          <w:p w14:paraId="2191B679"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ne</w:t>
            </w:r>
          </w:p>
        </w:tc>
        <w:tc>
          <w:tcPr>
            <w:tcW w:w="1276" w:type="dxa"/>
            <w:tcBorders>
              <w:top w:val="single" w:sz="4" w:space="0" w:color="000000"/>
              <w:left w:val="single" w:sz="4" w:space="0" w:color="000000"/>
              <w:bottom w:val="single" w:sz="4" w:space="0" w:color="000000"/>
              <w:right w:val="single" w:sz="4" w:space="0" w:color="000000"/>
            </w:tcBorders>
            <w:hideMark/>
          </w:tcPr>
          <w:p w14:paraId="6E121500" w14:textId="77777777" w:rsidR="005A094F" w:rsidRDefault="005A094F">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netaikoma / netikrinta</w:t>
            </w:r>
          </w:p>
        </w:tc>
        <w:tc>
          <w:tcPr>
            <w:tcW w:w="709" w:type="dxa"/>
            <w:tcBorders>
              <w:top w:val="single" w:sz="4" w:space="0" w:color="000000"/>
              <w:left w:val="single" w:sz="4" w:space="0" w:color="000000"/>
              <w:bottom w:val="single" w:sz="4" w:space="0" w:color="000000"/>
              <w:right w:val="single" w:sz="4" w:space="0" w:color="000000"/>
            </w:tcBorders>
          </w:tcPr>
          <w:p w14:paraId="46BC810F" w14:textId="77777777" w:rsidR="005A094F" w:rsidRDefault="005A094F">
            <w:pPr>
              <w:widowControl w:val="0"/>
              <w:spacing w:line="256" w:lineRule="auto"/>
              <w:jc w:val="center"/>
              <w:rPr>
                <w:rFonts w:ascii="Times New Roman" w:hAnsi="Times New Roman"/>
                <w:b/>
                <w:kern w:val="2"/>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48AFF131" w14:textId="77777777" w:rsidR="005A094F" w:rsidRDefault="005A094F">
            <w:pPr>
              <w:widowControl w:val="0"/>
              <w:spacing w:line="256" w:lineRule="auto"/>
              <w:jc w:val="center"/>
              <w:rPr>
                <w:rFonts w:ascii="Times New Roman" w:hAnsi="Times New Roman"/>
                <w:b/>
                <w:kern w:val="2"/>
                <w14:ligatures w14:val="standardContextual"/>
              </w:rPr>
            </w:pPr>
          </w:p>
        </w:tc>
      </w:tr>
      <w:tr w:rsidR="005A094F" w14:paraId="2165B079"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9536E69"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w:t>
            </w:r>
          </w:p>
        </w:tc>
        <w:tc>
          <w:tcPr>
            <w:tcW w:w="2551" w:type="dxa"/>
            <w:tcBorders>
              <w:top w:val="single" w:sz="4" w:space="0" w:color="000000"/>
              <w:left w:val="single" w:sz="4" w:space="0" w:color="000000"/>
              <w:bottom w:val="single" w:sz="4" w:space="0" w:color="000000"/>
              <w:right w:val="single" w:sz="4" w:space="0" w:color="000000"/>
            </w:tcBorders>
          </w:tcPr>
          <w:p w14:paraId="50BF8D4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centrui suteiktas patvirtinimas </w:t>
            </w:r>
          </w:p>
          <w:p w14:paraId="5F9AF20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564389E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II dalies 1 skyriaus 3 straipsnis</w:t>
            </w:r>
          </w:p>
        </w:tc>
        <w:tc>
          <w:tcPr>
            <w:tcW w:w="709" w:type="dxa"/>
            <w:tcBorders>
              <w:top w:val="single" w:sz="4" w:space="0" w:color="000000"/>
              <w:left w:val="single" w:sz="4" w:space="0" w:color="000000"/>
              <w:bottom w:val="single" w:sz="4" w:space="0" w:color="000000"/>
              <w:right w:val="single" w:sz="4" w:space="0" w:color="000000"/>
            </w:tcBorders>
          </w:tcPr>
          <w:p w14:paraId="780D2AF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2C3648B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39900EB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6691367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6BE3E8C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bookmarkEnd w:id="0"/>
      </w:tr>
      <w:tr w:rsidR="005A094F" w14:paraId="5241BE3D"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52FE2CE" w14:textId="77777777" w:rsidR="005A094F" w:rsidRDefault="005A094F">
            <w:pPr>
              <w:widowControl w:val="0"/>
              <w:spacing w:line="256" w:lineRule="auto"/>
              <w:rPr>
                <w:rFonts w:ascii="Times New Roman" w:hAnsi="Times New Roman"/>
                <w:b/>
                <w:kern w:val="2"/>
                <w14:ligatures w14:val="standardContextual"/>
              </w:rPr>
            </w:pPr>
            <w:bookmarkStart w:id="1" w:name="_Hlk178325037"/>
            <w:r>
              <w:rPr>
                <w:rFonts w:ascii="Times New Roman" w:hAnsi="Times New Roman"/>
                <w:b/>
                <w:kern w:val="2"/>
                <w14:ligatures w14:val="standardContextual"/>
              </w:rPr>
              <w:t xml:space="preserve">2. </w:t>
            </w:r>
          </w:p>
        </w:tc>
        <w:tc>
          <w:tcPr>
            <w:tcW w:w="2551" w:type="dxa"/>
            <w:tcBorders>
              <w:top w:val="single" w:sz="4" w:space="0" w:color="000000"/>
              <w:left w:val="single" w:sz="4" w:space="0" w:color="000000"/>
              <w:bottom w:val="single" w:sz="4" w:space="0" w:color="000000"/>
              <w:right w:val="single" w:sz="4" w:space="0" w:color="000000"/>
            </w:tcBorders>
          </w:tcPr>
          <w:p w14:paraId="291CD24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centras pastatytas arba atskirtas nuo kitų pastatų taip, kad nebūtų sąlyčio su ūkiniais gyvūnais, esančiais už centro ribų</w:t>
            </w:r>
          </w:p>
          <w:p w14:paraId="51BCA92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4DB29E4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5"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b papunktis</w:t>
            </w:r>
          </w:p>
        </w:tc>
        <w:tc>
          <w:tcPr>
            <w:tcW w:w="709" w:type="dxa"/>
            <w:tcBorders>
              <w:top w:val="single" w:sz="4" w:space="0" w:color="000000"/>
              <w:left w:val="single" w:sz="4" w:space="0" w:color="000000"/>
              <w:bottom w:val="single" w:sz="4" w:space="0" w:color="000000"/>
              <w:right w:val="single" w:sz="4" w:space="0" w:color="000000"/>
            </w:tcBorders>
          </w:tcPr>
          <w:p w14:paraId="586DEFF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0C9BB41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4C58BCA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3496A5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328277F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6968E33F"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F2C03C6"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3.</w:t>
            </w:r>
          </w:p>
        </w:tc>
        <w:tc>
          <w:tcPr>
            <w:tcW w:w="2551" w:type="dxa"/>
            <w:tcBorders>
              <w:top w:val="single" w:sz="4" w:space="0" w:color="000000"/>
              <w:left w:val="single" w:sz="4" w:space="0" w:color="000000"/>
              <w:bottom w:val="single" w:sz="4" w:space="0" w:color="000000"/>
              <w:right w:val="single" w:sz="4" w:space="0" w:color="000000"/>
            </w:tcBorders>
          </w:tcPr>
          <w:p w14:paraId="1699A61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centras pastatytas taip, kad visą centrą, išskyrus biuro patalpas, o laikant arklinių šeimos gyvūnus, ir </w:t>
            </w:r>
            <w:proofErr w:type="spellStart"/>
            <w:r>
              <w:rPr>
                <w:rFonts w:ascii="Times New Roman" w:eastAsia="Arial Unicode MS" w:hAnsi="Times New Roman"/>
                <w:kern w:val="2"/>
                <w:lang w:val="lt-LT" w:eastAsia="lt-LT"/>
                <w14:ligatures w14:val="standardContextual"/>
              </w:rPr>
              <w:t>mocionui</w:t>
            </w:r>
            <w:proofErr w:type="spellEnd"/>
            <w:r>
              <w:rPr>
                <w:rFonts w:ascii="Times New Roman" w:eastAsia="Arial Unicode MS" w:hAnsi="Times New Roman"/>
                <w:kern w:val="2"/>
                <w:lang w:val="lt-LT" w:eastAsia="lt-LT"/>
                <w14:ligatures w14:val="standardContextual"/>
              </w:rPr>
              <w:t xml:space="preserve"> skirtą aikštelę būtų galima lengvai valyti ir dezinfekuoti</w:t>
            </w:r>
          </w:p>
          <w:p w14:paraId="1F84733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37445EF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c) papunktis</w:t>
            </w:r>
          </w:p>
        </w:tc>
        <w:tc>
          <w:tcPr>
            <w:tcW w:w="709" w:type="dxa"/>
            <w:tcBorders>
              <w:top w:val="single" w:sz="4" w:space="0" w:color="000000"/>
              <w:left w:val="single" w:sz="4" w:space="0" w:color="000000"/>
              <w:bottom w:val="single" w:sz="4" w:space="0" w:color="000000"/>
              <w:right w:val="single" w:sz="4" w:space="0" w:color="000000"/>
            </w:tcBorders>
          </w:tcPr>
          <w:p w14:paraId="54FD0C9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0AD8E04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3D212BC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C997AA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6702970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5EF28007"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7E2E3D1"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 xml:space="preserve">4. </w:t>
            </w:r>
          </w:p>
        </w:tc>
        <w:tc>
          <w:tcPr>
            <w:tcW w:w="2551" w:type="dxa"/>
            <w:tcBorders>
              <w:top w:val="single" w:sz="4" w:space="0" w:color="000000"/>
              <w:left w:val="single" w:sz="4" w:space="0" w:color="000000"/>
              <w:bottom w:val="single" w:sz="4" w:space="0" w:color="000000"/>
              <w:right w:val="single" w:sz="4" w:space="0" w:color="000000"/>
            </w:tcBorders>
          </w:tcPr>
          <w:p w14:paraId="564AB36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Į spermos surinkimo centrą negali patekti pašaliniai asmenys</w:t>
            </w:r>
          </w:p>
          <w:p w14:paraId="0AD12E3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15E7C05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d) papunktis</w:t>
            </w:r>
          </w:p>
        </w:tc>
        <w:tc>
          <w:tcPr>
            <w:tcW w:w="709" w:type="dxa"/>
            <w:tcBorders>
              <w:top w:val="single" w:sz="4" w:space="0" w:color="000000"/>
              <w:left w:val="single" w:sz="4" w:space="0" w:color="000000"/>
              <w:bottom w:val="single" w:sz="4" w:space="0" w:color="000000"/>
              <w:right w:val="single" w:sz="4" w:space="0" w:color="000000"/>
            </w:tcBorders>
          </w:tcPr>
          <w:p w14:paraId="76CB805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780720D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4483713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19AD26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2B866C3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342117BE"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1826702A"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5.</w:t>
            </w:r>
          </w:p>
        </w:tc>
        <w:tc>
          <w:tcPr>
            <w:tcW w:w="2551" w:type="dxa"/>
            <w:tcBorders>
              <w:top w:val="single" w:sz="4" w:space="0" w:color="000000"/>
              <w:left w:val="single" w:sz="4" w:space="0" w:color="000000"/>
              <w:bottom w:val="single" w:sz="4" w:space="0" w:color="000000"/>
              <w:right w:val="single" w:sz="4" w:space="0" w:color="000000"/>
            </w:tcBorders>
          </w:tcPr>
          <w:p w14:paraId="15A9AE5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rakinamos gyvūnų laikymo patalpos ir, jeigu reikia, arklinių šeimos gyvūnų </w:t>
            </w:r>
            <w:proofErr w:type="spellStart"/>
            <w:r>
              <w:rPr>
                <w:rFonts w:ascii="Times New Roman" w:eastAsia="Arial Unicode MS" w:hAnsi="Times New Roman"/>
                <w:kern w:val="2"/>
                <w:lang w:val="lt-LT" w:eastAsia="lt-LT"/>
                <w14:ligatures w14:val="standardContextual"/>
              </w:rPr>
              <w:t>mocionui</w:t>
            </w:r>
            <w:proofErr w:type="spellEnd"/>
            <w:r>
              <w:rPr>
                <w:rFonts w:ascii="Times New Roman" w:eastAsia="Arial Unicode MS" w:hAnsi="Times New Roman"/>
                <w:kern w:val="2"/>
                <w:lang w:val="lt-LT" w:eastAsia="lt-LT"/>
                <w14:ligatures w14:val="standardContextual"/>
              </w:rPr>
              <w:t xml:space="preserve"> skirta aikštelė, fiziškai atskirta nuo spermos surinkimo, paruošimo ir saugojimo patalpų</w:t>
            </w:r>
          </w:p>
          <w:p w14:paraId="2992D49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00F3790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i) papunktis</w:t>
            </w:r>
          </w:p>
        </w:tc>
        <w:tc>
          <w:tcPr>
            <w:tcW w:w="709" w:type="dxa"/>
            <w:tcBorders>
              <w:top w:val="single" w:sz="4" w:space="0" w:color="000000"/>
              <w:left w:val="single" w:sz="4" w:space="0" w:color="000000"/>
              <w:bottom w:val="single" w:sz="4" w:space="0" w:color="000000"/>
              <w:right w:val="single" w:sz="4" w:space="0" w:color="000000"/>
            </w:tcBorders>
          </w:tcPr>
          <w:p w14:paraId="1776F44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4985655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1D8D860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95B540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1FB3145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0AB48A14"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4989356"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6.</w:t>
            </w:r>
          </w:p>
        </w:tc>
        <w:tc>
          <w:tcPr>
            <w:tcW w:w="2551" w:type="dxa"/>
            <w:tcBorders>
              <w:top w:val="single" w:sz="4" w:space="0" w:color="000000"/>
              <w:left w:val="single" w:sz="4" w:space="0" w:color="000000"/>
              <w:bottom w:val="single" w:sz="4" w:space="0" w:color="000000"/>
              <w:right w:val="single" w:sz="4" w:space="0" w:color="000000"/>
            </w:tcBorders>
            <w:hideMark/>
          </w:tcPr>
          <w:p w14:paraId="1C5936B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izoliavimo patalpos, kurios negali tiesiogiai susisiekti su įprastomis gyvūnams skirtomis patalpomis,  skirtos gyvūnams, kurių tyrimų rezultatai nebuvo geri arba kuriems pasireiškė bet kurios D kategorijos ligos, susijusios su galvijų, kiaulių, </w:t>
            </w:r>
            <w:r>
              <w:rPr>
                <w:rFonts w:ascii="Times New Roman" w:eastAsia="Arial Unicode MS" w:hAnsi="Times New Roman"/>
                <w:kern w:val="2"/>
                <w:lang w:val="lt-LT" w:eastAsia="lt-LT"/>
                <w14:ligatures w14:val="standardContextual"/>
              </w:rPr>
              <w:lastRenderedPageBreak/>
              <w:t>avių, ožkų arba arklinių šeimos gyvūnais, simptomai arba požymiai</w:t>
            </w:r>
          </w:p>
        </w:tc>
        <w:tc>
          <w:tcPr>
            <w:tcW w:w="2126" w:type="dxa"/>
            <w:tcBorders>
              <w:top w:val="single" w:sz="4" w:space="0" w:color="000000"/>
              <w:left w:val="single" w:sz="4" w:space="0" w:color="000000"/>
              <w:bottom w:val="single" w:sz="4" w:space="0" w:color="000000"/>
              <w:right w:val="single" w:sz="4" w:space="0" w:color="000000"/>
            </w:tcBorders>
            <w:hideMark/>
          </w:tcPr>
          <w:p w14:paraId="2595CB1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lastRenderedPageBreak/>
              <w:t>[</w:t>
            </w:r>
            <w:hyperlink r:id="rId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ii) papunktis</w:t>
            </w:r>
          </w:p>
        </w:tc>
        <w:tc>
          <w:tcPr>
            <w:tcW w:w="709" w:type="dxa"/>
            <w:tcBorders>
              <w:top w:val="single" w:sz="4" w:space="0" w:color="000000"/>
              <w:left w:val="single" w:sz="4" w:space="0" w:color="000000"/>
              <w:bottom w:val="single" w:sz="4" w:space="0" w:color="000000"/>
              <w:right w:val="single" w:sz="4" w:space="0" w:color="000000"/>
            </w:tcBorders>
          </w:tcPr>
          <w:p w14:paraId="7E9D612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76A45A7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1A30B1C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921BC1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7E39CE8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47C7803A"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B21D8F0"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7.</w:t>
            </w:r>
          </w:p>
        </w:tc>
        <w:tc>
          <w:tcPr>
            <w:tcW w:w="2551" w:type="dxa"/>
            <w:tcBorders>
              <w:top w:val="single" w:sz="4" w:space="0" w:color="000000"/>
              <w:left w:val="single" w:sz="4" w:space="0" w:color="000000"/>
              <w:bottom w:val="single" w:sz="4" w:space="0" w:color="000000"/>
              <w:right w:val="single" w:sz="4" w:space="0" w:color="000000"/>
            </w:tcBorders>
          </w:tcPr>
          <w:p w14:paraId="6C8C477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spermos surinkimo patalpos arba vieta atvirame ore, apsaugota nuo nepalankių oro sąlygų </w:t>
            </w:r>
          </w:p>
          <w:p w14:paraId="5C9E05E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35565EB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iii) papunktis</w:t>
            </w:r>
          </w:p>
        </w:tc>
        <w:tc>
          <w:tcPr>
            <w:tcW w:w="709" w:type="dxa"/>
            <w:tcBorders>
              <w:top w:val="single" w:sz="4" w:space="0" w:color="000000"/>
              <w:left w:val="single" w:sz="4" w:space="0" w:color="000000"/>
              <w:bottom w:val="single" w:sz="4" w:space="0" w:color="000000"/>
              <w:right w:val="single" w:sz="4" w:space="0" w:color="000000"/>
            </w:tcBorders>
          </w:tcPr>
          <w:p w14:paraId="4D7D6C5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5FB27D8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5D8787A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36BEE0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4E98678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6B7B3E7B"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B8F0C08"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8.</w:t>
            </w:r>
          </w:p>
        </w:tc>
        <w:tc>
          <w:tcPr>
            <w:tcW w:w="2551" w:type="dxa"/>
            <w:tcBorders>
              <w:top w:val="single" w:sz="4" w:space="0" w:color="000000"/>
              <w:left w:val="single" w:sz="4" w:space="0" w:color="000000"/>
              <w:bottom w:val="single" w:sz="4" w:space="0" w:color="000000"/>
              <w:right w:val="single" w:sz="4" w:space="0" w:color="000000"/>
            </w:tcBorders>
          </w:tcPr>
          <w:p w14:paraId="49CD7C6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Grindų danga spermos surinkimo vietoje ir aplink yra neslidi</w:t>
            </w:r>
          </w:p>
          <w:p w14:paraId="6B29572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2C022D3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iii) papunktis</w:t>
            </w:r>
          </w:p>
        </w:tc>
        <w:tc>
          <w:tcPr>
            <w:tcW w:w="709" w:type="dxa"/>
            <w:tcBorders>
              <w:top w:val="single" w:sz="4" w:space="0" w:color="000000"/>
              <w:left w:val="single" w:sz="4" w:space="0" w:color="000000"/>
              <w:bottom w:val="single" w:sz="4" w:space="0" w:color="000000"/>
              <w:right w:val="single" w:sz="4" w:space="0" w:color="000000"/>
            </w:tcBorders>
          </w:tcPr>
          <w:p w14:paraId="6A8C948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2E2AF62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4133153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FC16B9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1A48874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37007FE9"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218E6A6"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9.</w:t>
            </w:r>
          </w:p>
        </w:tc>
        <w:tc>
          <w:tcPr>
            <w:tcW w:w="2551" w:type="dxa"/>
            <w:tcBorders>
              <w:top w:val="single" w:sz="4" w:space="0" w:color="000000"/>
              <w:left w:val="single" w:sz="4" w:space="0" w:color="000000"/>
              <w:bottom w:val="single" w:sz="4" w:space="0" w:color="000000"/>
              <w:right w:val="single" w:sz="4" w:space="0" w:color="000000"/>
            </w:tcBorders>
          </w:tcPr>
          <w:p w14:paraId="405552C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yra atskira patalpa, skirta įrangai valyti ir dezinfekuoti arba sterilizuoti</w:t>
            </w:r>
          </w:p>
          <w:p w14:paraId="2455B2D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06BA1F4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2"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iv) papunktis</w:t>
            </w:r>
          </w:p>
        </w:tc>
        <w:tc>
          <w:tcPr>
            <w:tcW w:w="709" w:type="dxa"/>
            <w:tcBorders>
              <w:top w:val="single" w:sz="4" w:space="0" w:color="000000"/>
              <w:left w:val="single" w:sz="4" w:space="0" w:color="000000"/>
              <w:bottom w:val="single" w:sz="4" w:space="0" w:color="000000"/>
              <w:right w:val="single" w:sz="4" w:space="0" w:color="000000"/>
            </w:tcBorders>
          </w:tcPr>
          <w:p w14:paraId="2D4E730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359EDE8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2ACADF5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3E6FCB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0F792EA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5051724A"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2937D80D"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10.</w:t>
            </w:r>
          </w:p>
        </w:tc>
        <w:tc>
          <w:tcPr>
            <w:tcW w:w="2551" w:type="dxa"/>
            <w:tcBorders>
              <w:top w:val="single" w:sz="4" w:space="0" w:color="000000"/>
              <w:left w:val="single" w:sz="4" w:space="0" w:color="000000"/>
              <w:bottom w:val="single" w:sz="4" w:space="0" w:color="000000"/>
              <w:right w:val="single" w:sz="4" w:space="0" w:color="000000"/>
            </w:tcBorders>
          </w:tcPr>
          <w:p w14:paraId="5E682C5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yra spermos paruošimo patalpa, atskirta nuo spermos surinkimo patalpų ir nuo įrangos valymo patalpos</w:t>
            </w:r>
          </w:p>
          <w:p w14:paraId="5D7AA3C1" w14:textId="77777777" w:rsidR="005A094F" w:rsidRDefault="005A094F">
            <w:pPr>
              <w:shd w:val="clear" w:color="auto" w:fill="FFFFFF"/>
              <w:spacing w:line="256" w:lineRule="auto"/>
              <w:ind w:firstLine="33"/>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44E9174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3"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v) papunktis</w:t>
            </w:r>
          </w:p>
        </w:tc>
        <w:tc>
          <w:tcPr>
            <w:tcW w:w="709" w:type="dxa"/>
            <w:tcBorders>
              <w:top w:val="single" w:sz="4" w:space="0" w:color="000000"/>
              <w:left w:val="single" w:sz="4" w:space="0" w:color="000000"/>
              <w:bottom w:val="single" w:sz="4" w:space="0" w:color="000000"/>
              <w:right w:val="single" w:sz="4" w:space="0" w:color="000000"/>
            </w:tcBorders>
          </w:tcPr>
          <w:p w14:paraId="3D2DE0E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241A7C1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2716C38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F58486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68DF0F0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45966E22"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F9A516E"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11.</w:t>
            </w:r>
          </w:p>
        </w:tc>
        <w:tc>
          <w:tcPr>
            <w:tcW w:w="2551" w:type="dxa"/>
            <w:tcBorders>
              <w:top w:val="single" w:sz="4" w:space="0" w:color="000000"/>
              <w:left w:val="single" w:sz="4" w:space="0" w:color="000000"/>
              <w:bottom w:val="single" w:sz="4" w:space="0" w:color="000000"/>
              <w:right w:val="single" w:sz="4" w:space="0" w:color="000000"/>
            </w:tcBorders>
          </w:tcPr>
          <w:p w14:paraId="3E32CCEA"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 Spermos surinkimo centre yra spermos saugojimo patalpa </w:t>
            </w:r>
          </w:p>
          <w:p w14:paraId="3DEC12B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2495B013"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vi) papunktis</w:t>
            </w:r>
          </w:p>
        </w:tc>
        <w:tc>
          <w:tcPr>
            <w:tcW w:w="709" w:type="dxa"/>
            <w:tcBorders>
              <w:top w:val="single" w:sz="4" w:space="0" w:color="000000"/>
              <w:left w:val="single" w:sz="4" w:space="0" w:color="000000"/>
              <w:bottom w:val="single" w:sz="4" w:space="0" w:color="000000"/>
              <w:right w:val="single" w:sz="4" w:space="0" w:color="000000"/>
            </w:tcBorders>
          </w:tcPr>
          <w:p w14:paraId="1D907CFB"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4B1765E0"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5BAC2128"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580F31D"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6EFB9BD7" w14:textId="77777777" w:rsidR="005A094F" w:rsidRDefault="005A094F">
            <w:pPr>
              <w:shd w:val="clear" w:color="auto" w:fill="FFFFFF"/>
              <w:spacing w:line="256" w:lineRule="auto"/>
              <w:ind w:hanging="109"/>
              <w:jc w:val="both"/>
              <w:rPr>
                <w:rFonts w:ascii="Times New Roman" w:eastAsia="Arial Unicode MS" w:hAnsi="Times New Roman"/>
                <w:kern w:val="2"/>
                <w:lang w:val="lt-LT" w:eastAsia="lt-LT"/>
                <w14:ligatures w14:val="standardContextual"/>
              </w:rPr>
            </w:pPr>
          </w:p>
        </w:tc>
      </w:tr>
      <w:tr w:rsidR="005A094F" w14:paraId="4A2FC1A7"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70BDEE6"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12.</w:t>
            </w:r>
          </w:p>
        </w:tc>
        <w:tc>
          <w:tcPr>
            <w:tcW w:w="2551" w:type="dxa"/>
            <w:tcBorders>
              <w:top w:val="single" w:sz="4" w:space="0" w:color="000000"/>
              <w:left w:val="single" w:sz="4" w:space="0" w:color="000000"/>
              <w:bottom w:val="single" w:sz="4" w:space="0" w:color="000000"/>
              <w:right w:val="single" w:sz="4" w:space="0" w:color="000000"/>
            </w:tcBorders>
          </w:tcPr>
          <w:p w14:paraId="5D73018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saugojimo patalpoje yra genetinės medžiagos produktams saugoti būtina įranga</w:t>
            </w:r>
          </w:p>
          <w:p w14:paraId="200DBDE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4A3B336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5"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vi) papunktis</w:t>
            </w:r>
          </w:p>
        </w:tc>
        <w:tc>
          <w:tcPr>
            <w:tcW w:w="709" w:type="dxa"/>
            <w:tcBorders>
              <w:top w:val="single" w:sz="4" w:space="0" w:color="000000"/>
              <w:left w:val="single" w:sz="4" w:space="0" w:color="000000"/>
              <w:bottom w:val="single" w:sz="4" w:space="0" w:color="000000"/>
              <w:right w:val="single" w:sz="4" w:space="0" w:color="000000"/>
            </w:tcBorders>
          </w:tcPr>
          <w:p w14:paraId="5C3043F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42AB7DF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480C71E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07995F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737AD44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7E54C676"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2524ED53"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13.</w:t>
            </w:r>
          </w:p>
        </w:tc>
        <w:tc>
          <w:tcPr>
            <w:tcW w:w="2551" w:type="dxa"/>
            <w:tcBorders>
              <w:top w:val="single" w:sz="4" w:space="0" w:color="000000"/>
              <w:left w:val="single" w:sz="4" w:space="0" w:color="000000"/>
              <w:bottom w:val="single" w:sz="4" w:space="0" w:color="000000"/>
              <w:right w:val="single" w:sz="4" w:space="0" w:color="000000"/>
            </w:tcBorders>
          </w:tcPr>
          <w:p w14:paraId="14B151D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saugojimo patalpa pastatyta taip, kad genetinės medžiagos produktai ir įranga būtų apsaugoti nuo nepalankių oro sąlygų ir aplinkos poveikio</w:t>
            </w:r>
          </w:p>
          <w:p w14:paraId="719D398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37B6135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2 punkto a) vi) papunktis</w:t>
            </w:r>
          </w:p>
        </w:tc>
        <w:tc>
          <w:tcPr>
            <w:tcW w:w="709" w:type="dxa"/>
            <w:tcBorders>
              <w:top w:val="single" w:sz="4" w:space="0" w:color="000000"/>
              <w:left w:val="single" w:sz="4" w:space="0" w:color="000000"/>
              <w:bottom w:val="single" w:sz="4" w:space="0" w:color="000000"/>
              <w:right w:val="single" w:sz="4" w:space="0" w:color="000000"/>
            </w:tcBorders>
          </w:tcPr>
          <w:p w14:paraId="5F10DC2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24D9AA9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4D71489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DFA2FA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5203FED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7559A757" w14:textId="77777777" w:rsidTr="005A094F">
        <w:trPr>
          <w:trHeight w:val="1439"/>
        </w:trPr>
        <w:tc>
          <w:tcPr>
            <w:tcW w:w="568" w:type="dxa"/>
            <w:tcBorders>
              <w:top w:val="single" w:sz="4" w:space="0" w:color="000000"/>
              <w:left w:val="single" w:sz="4" w:space="0" w:color="000000"/>
              <w:bottom w:val="single" w:sz="4" w:space="0" w:color="000000"/>
              <w:right w:val="single" w:sz="4" w:space="0" w:color="000000"/>
            </w:tcBorders>
            <w:hideMark/>
          </w:tcPr>
          <w:p w14:paraId="154E91D5"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14.</w:t>
            </w:r>
          </w:p>
        </w:tc>
        <w:tc>
          <w:tcPr>
            <w:tcW w:w="2551" w:type="dxa"/>
            <w:tcBorders>
              <w:top w:val="single" w:sz="4" w:space="0" w:color="000000"/>
              <w:left w:val="single" w:sz="4" w:space="0" w:color="000000"/>
              <w:bottom w:val="single" w:sz="4" w:space="0" w:color="000000"/>
              <w:right w:val="single" w:sz="4" w:space="0" w:color="000000"/>
            </w:tcBorders>
            <w:hideMark/>
          </w:tcPr>
          <w:p w14:paraId="023D60B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laikomi tik bent 30 dienų iki pirmo spermos surinkimo dienos ir per rinkimo laikotarpį natūraliam veisimui nenaudoti gyvūnai</w:t>
            </w:r>
          </w:p>
        </w:tc>
        <w:tc>
          <w:tcPr>
            <w:tcW w:w="2126" w:type="dxa"/>
            <w:tcBorders>
              <w:top w:val="single" w:sz="4" w:space="0" w:color="000000"/>
              <w:left w:val="single" w:sz="4" w:space="0" w:color="000000"/>
              <w:bottom w:val="single" w:sz="4" w:space="0" w:color="000000"/>
              <w:right w:val="single" w:sz="4" w:space="0" w:color="000000"/>
            </w:tcBorders>
          </w:tcPr>
          <w:p w14:paraId="07B2FE4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dalis 1 punkto a) i) papunktis</w:t>
            </w:r>
          </w:p>
          <w:p w14:paraId="78D1C86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302FE3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44E0566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6D60A5D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FC7B1F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1B03A18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5CBCE204"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0B759DE2"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 xml:space="preserve">15. </w:t>
            </w:r>
          </w:p>
        </w:tc>
        <w:tc>
          <w:tcPr>
            <w:tcW w:w="2551" w:type="dxa"/>
            <w:tcBorders>
              <w:top w:val="single" w:sz="4" w:space="0" w:color="000000"/>
              <w:left w:val="single" w:sz="4" w:space="0" w:color="000000"/>
              <w:bottom w:val="single" w:sz="4" w:space="0" w:color="000000"/>
              <w:right w:val="single" w:sz="4" w:space="0" w:color="000000"/>
            </w:tcBorders>
          </w:tcPr>
          <w:p w14:paraId="3A36A28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Centre dirba centro veterinarijos gydytojas, atsakingas už spermos surinkimo centre vykdomą veiklą</w:t>
            </w:r>
          </w:p>
          <w:p w14:paraId="5D05A3B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3C67077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4 straipsnis  a) i) papunktis</w:t>
            </w:r>
          </w:p>
        </w:tc>
        <w:tc>
          <w:tcPr>
            <w:tcW w:w="709" w:type="dxa"/>
            <w:tcBorders>
              <w:top w:val="single" w:sz="4" w:space="0" w:color="000000"/>
              <w:left w:val="single" w:sz="4" w:space="0" w:color="000000"/>
              <w:bottom w:val="single" w:sz="4" w:space="0" w:color="000000"/>
              <w:right w:val="single" w:sz="4" w:space="0" w:color="000000"/>
            </w:tcBorders>
          </w:tcPr>
          <w:p w14:paraId="579715F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5A333AA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7A5D741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6E3BF11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0C9C217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03BA95FF"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537A318"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16.</w:t>
            </w:r>
          </w:p>
        </w:tc>
        <w:tc>
          <w:tcPr>
            <w:tcW w:w="2551" w:type="dxa"/>
            <w:tcBorders>
              <w:top w:val="single" w:sz="4" w:space="0" w:color="000000"/>
              <w:left w:val="single" w:sz="4" w:space="0" w:color="000000"/>
              <w:bottom w:val="single" w:sz="4" w:space="0" w:color="000000"/>
              <w:right w:val="single" w:sz="4" w:space="0" w:color="000000"/>
            </w:tcBorders>
          </w:tcPr>
          <w:p w14:paraId="5278C24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Sperma renkama, ruošiama ir saugoma tik tam tikslui skirtose patalpose ir laikantis griežtų higienos reikalavimų</w:t>
            </w:r>
          </w:p>
          <w:p w14:paraId="7DC239F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1F35C11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vi) papunktis</w:t>
            </w:r>
          </w:p>
        </w:tc>
        <w:tc>
          <w:tcPr>
            <w:tcW w:w="709" w:type="dxa"/>
            <w:tcBorders>
              <w:top w:val="single" w:sz="4" w:space="0" w:color="000000"/>
              <w:left w:val="single" w:sz="4" w:space="0" w:color="000000"/>
              <w:bottom w:val="single" w:sz="4" w:space="0" w:color="000000"/>
              <w:right w:val="single" w:sz="4" w:space="0" w:color="000000"/>
            </w:tcBorders>
          </w:tcPr>
          <w:p w14:paraId="6C3CA66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6DC7C51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23E09B8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ABC8A3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2E0EAAC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10CB62CA"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28191B39"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lastRenderedPageBreak/>
              <w:t>16.</w:t>
            </w:r>
          </w:p>
        </w:tc>
        <w:tc>
          <w:tcPr>
            <w:tcW w:w="2551" w:type="dxa"/>
            <w:tcBorders>
              <w:top w:val="single" w:sz="4" w:space="0" w:color="000000"/>
              <w:left w:val="single" w:sz="4" w:space="0" w:color="000000"/>
              <w:bottom w:val="single" w:sz="4" w:space="0" w:color="000000"/>
              <w:right w:val="single" w:sz="4" w:space="0" w:color="000000"/>
            </w:tcBorders>
            <w:hideMark/>
          </w:tcPr>
          <w:p w14:paraId="66362D6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Kiekvienas šiaudelis arba pakuotė, kuriuose laikoma sperma aiškiai paženklinti pagal 10 straipsnyje nustatytus reikalavimus</w:t>
            </w:r>
          </w:p>
        </w:tc>
        <w:tc>
          <w:tcPr>
            <w:tcW w:w="2126" w:type="dxa"/>
            <w:tcBorders>
              <w:top w:val="single" w:sz="4" w:space="0" w:color="000000"/>
              <w:left w:val="single" w:sz="4" w:space="0" w:color="000000"/>
              <w:bottom w:val="single" w:sz="4" w:space="0" w:color="000000"/>
              <w:right w:val="single" w:sz="4" w:space="0" w:color="000000"/>
            </w:tcBorders>
          </w:tcPr>
          <w:p w14:paraId="47789E2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II dalies 3 skyriaus 2 skirsnio 10 straipsnis, I priedo  1 punkto a) v) papunktis</w:t>
            </w:r>
          </w:p>
          <w:p w14:paraId="795776C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B73ECB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194CBBE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2FD0CF0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8A3180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23DDD89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02E96CCF"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6599A6DD"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18.</w:t>
            </w:r>
          </w:p>
        </w:tc>
        <w:tc>
          <w:tcPr>
            <w:tcW w:w="2551" w:type="dxa"/>
            <w:tcBorders>
              <w:top w:val="single" w:sz="4" w:space="0" w:color="000000"/>
              <w:left w:val="single" w:sz="4" w:space="0" w:color="000000"/>
              <w:bottom w:val="single" w:sz="4" w:space="0" w:color="000000"/>
              <w:right w:val="single" w:sz="4" w:space="0" w:color="000000"/>
            </w:tcBorders>
            <w:hideMark/>
          </w:tcPr>
          <w:p w14:paraId="52A3511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ruošiama ir saugoma tik tame spermos surinkimo centre surinkta sperma, ir kad sperma neturi sąlyčio su jokia kita blogesnės sveikatos būklės genetinės medžiagos produktų siunta</w:t>
            </w:r>
          </w:p>
        </w:tc>
        <w:tc>
          <w:tcPr>
            <w:tcW w:w="2126" w:type="dxa"/>
            <w:tcBorders>
              <w:top w:val="single" w:sz="4" w:space="0" w:color="000000"/>
              <w:left w:val="single" w:sz="4" w:space="0" w:color="000000"/>
              <w:bottom w:val="single" w:sz="4" w:space="0" w:color="000000"/>
              <w:right w:val="single" w:sz="4" w:space="0" w:color="000000"/>
            </w:tcBorders>
            <w:hideMark/>
          </w:tcPr>
          <w:p w14:paraId="5E69B86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vii) papunktis</w:t>
            </w:r>
          </w:p>
        </w:tc>
        <w:tc>
          <w:tcPr>
            <w:tcW w:w="709" w:type="dxa"/>
            <w:tcBorders>
              <w:top w:val="single" w:sz="4" w:space="0" w:color="000000"/>
              <w:left w:val="single" w:sz="4" w:space="0" w:color="000000"/>
              <w:bottom w:val="single" w:sz="4" w:space="0" w:color="000000"/>
              <w:right w:val="single" w:sz="4" w:space="0" w:color="000000"/>
            </w:tcBorders>
          </w:tcPr>
          <w:p w14:paraId="18D4A00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300C57D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649242B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A1588F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073477E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7BC76C0C"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FFFED08"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19.</w:t>
            </w:r>
          </w:p>
        </w:tc>
        <w:tc>
          <w:tcPr>
            <w:tcW w:w="2551" w:type="dxa"/>
            <w:tcBorders>
              <w:top w:val="single" w:sz="4" w:space="0" w:color="000000"/>
              <w:left w:val="single" w:sz="4" w:space="0" w:color="000000"/>
              <w:bottom w:val="single" w:sz="4" w:space="0" w:color="000000"/>
              <w:right w:val="single" w:sz="4" w:space="0" w:color="000000"/>
            </w:tcBorders>
          </w:tcPr>
          <w:p w14:paraId="28352FB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Visi instrumentai, spermos rinkimo ir ruošimo metu turintys sąlytį su sperma arba gyvūnu donoru, prieš naudojimą yra išvalyti ir dezinfekuoti arba sterilizuoti, išskyrus naujus vienkartinius instrumentus</w:t>
            </w:r>
          </w:p>
          <w:p w14:paraId="1B7447D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56F5AE9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2"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viii) papunktis</w:t>
            </w:r>
          </w:p>
        </w:tc>
        <w:tc>
          <w:tcPr>
            <w:tcW w:w="709" w:type="dxa"/>
            <w:tcBorders>
              <w:top w:val="single" w:sz="4" w:space="0" w:color="000000"/>
              <w:left w:val="single" w:sz="4" w:space="0" w:color="000000"/>
              <w:bottom w:val="single" w:sz="4" w:space="0" w:color="000000"/>
              <w:right w:val="single" w:sz="4" w:space="0" w:color="000000"/>
            </w:tcBorders>
          </w:tcPr>
          <w:p w14:paraId="2A37D7B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3B5C0AF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551D33A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C53F8B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1C797D4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1FDF2BBF"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2C88FA1A"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20.</w:t>
            </w:r>
          </w:p>
        </w:tc>
        <w:tc>
          <w:tcPr>
            <w:tcW w:w="2551" w:type="dxa"/>
            <w:tcBorders>
              <w:top w:val="single" w:sz="4" w:space="0" w:color="000000"/>
              <w:left w:val="single" w:sz="4" w:space="0" w:color="000000"/>
              <w:bottom w:val="single" w:sz="4" w:space="0" w:color="000000"/>
              <w:right w:val="single" w:sz="4" w:space="0" w:color="000000"/>
            </w:tcBorders>
            <w:hideMark/>
          </w:tcPr>
          <w:p w14:paraId="1DEF871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Jei tai eržilų spermos surinkimo centras, jis yra registruoto ūkio, kuriame taip pat yra dirbtinio apsėklinimo arba kergimo centras, zonoje, instrumentai ir įranga, turintys sąlytį su gyvūnais donorais, jų sperma ir kitais spermos surinkimo centre laikomais gyvūnais, yra griežtai atskirti nuo spermos ir instrumentų bei įrangos, naudojamų dirbtiniam apsėklinimui arba kergimui</w:t>
            </w:r>
          </w:p>
        </w:tc>
        <w:tc>
          <w:tcPr>
            <w:tcW w:w="2126" w:type="dxa"/>
            <w:tcBorders>
              <w:top w:val="single" w:sz="4" w:space="0" w:color="000000"/>
              <w:left w:val="single" w:sz="4" w:space="0" w:color="000000"/>
              <w:bottom w:val="single" w:sz="4" w:space="0" w:color="000000"/>
              <w:right w:val="single" w:sz="4" w:space="0" w:color="000000"/>
            </w:tcBorders>
            <w:hideMark/>
          </w:tcPr>
          <w:p w14:paraId="091E80C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3"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ix) papunktis</w:t>
            </w:r>
          </w:p>
        </w:tc>
        <w:tc>
          <w:tcPr>
            <w:tcW w:w="709" w:type="dxa"/>
            <w:tcBorders>
              <w:top w:val="single" w:sz="4" w:space="0" w:color="000000"/>
              <w:left w:val="single" w:sz="4" w:space="0" w:color="000000"/>
              <w:bottom w:val="single" w:sz="4" w:space="0" w:color="000000"/>
              <w:right w:val="single" w:sz="4" w:space="0" w:color="000000"/>
            </w:tcBorders>
          </w:tcPr>
          <w:p w14:paraId="723F430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7FFC7E7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148BE01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521866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022D533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0127A215"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F9DF709"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21.</w:t>
            </w:r>
          </w:p>
        </w:tc>
        <w:tc>
          <w:tcPr>
            <w:tcW w:w="2551" w:type="dxa"/>
            <w:tcBorders>
              <w:top w:val="single" w:sz="4" w:space="0" w:color="000000"/>
              <w:left w:val="single" w:sz="4" w:space="0" w:color="000000"/>
              <w:bottom w:val="single" w:sz="4" w:space="0" w:color="000000"/>
              <w:right w:val="single" w:sz="4" w:space="0" w:color="000000"/>
            </w:tcBorders>
            <w:hideMark/>
          </w:tcPr>
          <w:p w14:paraId="7A1AEB09"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Bet kuris iš gyvūnų gautas biologinis produktas, naudojamas ruošiant spermą, įskaitant skiediklius, priedus arba užpildus, būtų gautas iš šaltinių, kurie nekelia pavojaus gyvūnų sveikatai arba kurie prieš naudojimą yra apdorojami, kad būtų užkirstas kelias tokiam pavojui</w:t>
            </w:r>
          </w:p>
        </w:tc>
        <w:tc>
          <w:tcPr>
            <w:tcW w:w="2126" w:type="dxa"/>
            <w:tcBorders>
              <w:top w:val="single" w:sz="4" w:space="0" w:color="000000"/>
              <w:left w:val="single" w:sz="4" w:space="0" w:color="000000"/>
              <w:bottom w:val="single" w:sz="4" w:space="0" w:color="000000"/>
              <w:right w:val="single" w:sz="4" w:space="0" w:color="000000"/>
            </w:tcBorders>
            <w:hideMark/>
          </w:tcPr>
          <w:p w14:paraId="75B79F2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x) papunktis</w:t>
            </w:r>
          </w:p>
        </w:tc>
        <w:tc>
          <w:tcPr>
            <w:tcW w:w="709" w:type="dxa"/>
            <w:tcBorders>
              <w:top w:val="single" w:sz="4" w:space="0" w:color="000000"/>
              <w:left w:val="single" w:sz="4" w:space="0" w:color="000000"/>
              <w:bottom w:val="single" w:sz="4" w:space="0" w:color="000000"/>
              <w:right w:val="single" w:sz="4" w:space="0" w:color="000000"/>
            </w:tcBorders>
          </w:tcPr>
          <w:p w14:paraId="2061376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4C97C9C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7624C33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B60F7D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52116A4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4E49A93D"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6881A325"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22.</w:t>
            </w:r>
          </w:p>
        </w:tc>
        <w:tc>
          <w:tcPr>
            <w:tcW w:w="2551" w:type="dxa"/>
            <w:tcBorders>
              <w:top w:val="single" w:sz="4" w:space="0" w:color="000000"/>
              <w:left w:val="single" w:sz="4" w:space="0" w:color="000000"/>
              <w:bottom w:val="single" w:sz="4" w:space="0" w:color="000000"/>
              <w:right w:val="single" w:sz="4" w:space="0" w:color="000000"/>
            </w:tcBorders>
          </w:tcPr>
          <w:p w14:paraId="505CA00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Saugojimo konteineriai ir vežimo konteineriai, prieš juos pripildant, būtų išvalyti ir dezinfekuoti arba sterilizuoti, išskyrus naujus vienkartinius konteinerius</w:t>
            </w:r>
          </w:p>
          <w:p w14:paraId="0C740CD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5B1CE42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5"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xi) papunktis</w:t>
            </w:r>
          </w:p>
        </w:tc>
        <w:tc>
          <w:tcPr>
            <w:tcW w:w="709" w:type="dxa"/>
            <w:tcBorders>
              <w:top w:val="single" w:sz="4" w:space="0" w:color="000000"/>
              <w:left w:val="single" w:sz="4" w:space="0" w:color="000000"/>
              <w:bottom w:val="single" w:sz="4" w:space="0" w:color="000000"/>
              <w:right w:val="single" w:sz="4" w:space="0" w:color="000000"/>
            </w:tcBorders>
          </w:tcPr>
          <w:p w14:paraId="7E697C6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2FD6DCF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60E74C9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4720F6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46C6A8E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6F26A030"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AEE5968"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lastRenderedPageBreak/>
              <w:t>23.</w:t>
            </w:r>
          </w:p>
        </w:tc>
        <w:tc>
          <w:tcPr>
            <w:tcW w:w="2551" w:type="dxa"/>
            <w:tcBorders>
              <w:top w:val="single" w:sz="4" w:space="0" w:color="000000"/>
              <w:left w:val="single" w:sz="4" w:space="0" w:color="000000"/>
              <w:bottom w:val="single" w:sz="4" w:space="0" w:color="000000"/>
              <w:right w:val="single" w:sz="4" w:space="0" w:color="000000"/>
            </w:tcBorders>
          </w:tcPr>
          <w:p w14:paraId="24E8D93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Spermai konservuoti arba saugoti naudojamos </w:t>
            </w:r>
            <w:proofErr w:type="spellStart"/>
            <w:r>
              <w:rPr>
                <w:rFonts w:ascii="Times New Roman" w:eastAsia="Arial Unicode MS" w:hAnsi="Times New Roman"/>
                <w:kern w:val="2"/>
                <w:lang w:val="lt-LT" w:eastAsia="lt-LT"/>
                <w14:ligatures w14:val="standardContextual"/>
              </w:rPr>
              <w:t>kriogeninės</w:t>
            </w:r>
            <w:proofErr w:type="spellEnd"/>
            <w:r>
              <w:rPr>
                <w:rFonts w:ascii="Times New Roman" w:eastAsia="Arial Unicode MS" w:hAnsi="Times New Roman"/>
                <w:kern w:val="2"/>
                <w:lang w:val="lt-LT" w:eastAsia="lt-LT"/>
                <w14:ligatures w14:val="standardContextual"/>
              </w:rPr>
              <w:t xml:space="preserve"> medžiagos prieš tai nebuvo naudotos kitiems produktams</w:t>
            </w:r>
          </w:p>
          <w:p w14:paraId="13E2560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6D0AD06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 priedo  1 punkto a) xii) papunktis</w:t>
            </w:r>
          </w:p>
        </w:tc>
        <w:tc>
          <w:tcPr>
            <w:tcW w:w="709" w:type="dxa"/>
            <w:tcBorders>
              <w:top w:val="single" w:sz="4" w:space="0" w:color="000000"/>
              <w:left w:val="single" w:sz="4" w:space="0" w:color="000000"/>
              <w:bottom w:val="single" w:sz="4" w:space="0" w:color="000000"/>
              <w:right w:val="single" w:sz="4" w:space="0" w:color="000000"/>
            </w:tcBorders>
          </w:tcPr>
          <w:p w14:paraId="52E9463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5A38C87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4F6F2E1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747C5F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1781F1D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6F19272A"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7DC334B"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24.</w:t>
            </w:r>
          </w:p>
        </w:tc>
        <w:tc>
          <w:tcPr>
            <w:tcW w:w="2551" w:type="dxa"/>
            <w:tcBorders>
              <w:top w:val="single" w:sz="4" w:space="0" w:color="000000"/>
              <w:left w:val="single" w:sz="4" w:space="0" w:color="000000"/>
              <w:bottom w:val="single" w:sz="4" w:space="0" w:color="000000"/>
              <w:right w:val="single" w:sz="4" w:space="0" w:color="000000"/>
            </w:tcBorders>
          </w:tcPr>
          <w:p w14:paraId="15A8A6C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dirbantys darbuotojai yra tinkamai išmokyti dezinfekavimo ir higienos metodų, kuriuos taikant neleidžiama ligoms plisti</w:t>
            </w:r>
          </w:p>
          <w:p w14:paraId="0212F4A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2C40E57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xml:space="preserve">] I priedo  1 punkto a) </w:t>
            </w:r>
            <w:r>
              <w:rPr>
                <w:rFonts w:ascii="Times New Roman" w:eastAsia="Arial Unicode MS" w:hAnsi="Times New Roman"/>
                <w:kern w:val="2"/>
                <w:shd w:val="clear" w:color="auto" w:fill="FFFFFF"/>
                <w14:ligatures w14:val="standardContextual"/>
              </w:rPr>
              <w:t>xiii) papunktis</w:t>
            </w:r>
          </w:p>
        </w:tc>
        <w:tc>
          <w:tcPr>
            <w:tcW w:w="709" w:type="dxa"/>
            <w:tcBorders>
              <w:top w:val="single" w:sz="4" w:space="0" w:color="000000"/>
              <w:left w:val="single" w:sz="4" w:space="0" w:color="000000"/>
              <w:bottom w:val="single" w:sz="4" w:space="0" w:color="000000"/>
              <w:right w:val="single" w:sz="4" w:space="0" w:color="000000"/>
            </w:tcBorders>
          </w:tcPr>
          <w:p w14:paraId="50AFD98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0539E67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194B40D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70266B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322C788A"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656C74BF"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30058B7"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25.</w:t>
            </w:r>
          </w:p>
        </w:tc>
        <w:tc>
          <w:tcPr>
            <w:tcW w:w="2551" w:type="dxa"/>
            <w:tcBorders>
              <w:top w:val="single" w:sz="4" w:space="0" w:color="000000"/>
              <w:left w:val="single" w:sz="4" w:space="0" w:color="000000"/>
              <w:bottom w:val="single" w:sz="4" w:space="0" w:color="000000"/>
              <w:right w:val="single" w:sz="4" w:space="0" w:color="000000"/>
            </w:tcBorders>
          </w:tcPr>
          <w:p w14:paraId="2F58320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saugoma ir tvarkoma informacija apie genetinės medžiagos produktų, paruoštų ir saugomų arba saugomų patvirtintame genetinės medžiagos produktų ūkyje rūšis, nurodant gyvūno donoro rūšį</w:t>
            </w:r>
          </w:p>
          <w:p w14:paraId="658436A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1C322F3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3 skyrius 1 skirsnis 8 straipsnis 1 punkto</w:t>
            </w:r>
          </w:p>
          <w:p w14:paraId="4C4921F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i) papunktis</w:t>
            </w:r>
          </w:p>
        </w:tc>
        <w:tc>
          <w:tcPr>
            <w:tcW w:w="709" w:type="dxa"/>
            <w:tcBorders>
              <w:top w:val="single" w:sz="4" w:space="0" w:color="000000"/>
              <w:left w:val="single" w:sz="4" w:space="0" w:color="000000"/>
              <w:bottom w:val="single" w:sz="4" w:space="0" w:color="000000"/>
              <w:right w:val="single" w:sz="4" w:space="0" w:color="000000"/>
            </w:tcBorders>
          </w:tcPr>
          <w:p w14:paraId="2CA8352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4C0B0243"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5D62A4EC"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C5DD0B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261DEF27"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25104C53"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0CC7AB77"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26.</w:t>
            </w:r>
          </w:p>
        </w:tc>
        <w:tc>
          <w:tcPr>
            <w:tcW w:w="2551" w:type="dxa"/>
            <w:tcBorders>
              <w:top w:val="single" w:sz="4" w:space="0" w:color="000000"/>
              <w:left w:val="single" w:sz="4" w:space="0" w:color="000000"/>
              <w:bottom w:val="single" w:sz="4" w:space="0" w:color="000000"/>
              <w:right w:val="single" w:sz="4" w:space="0" w:color="000000"/>
            </w:tcBorders>
          </w:tcPr>
          <w:p w14:paraId="6309B32B"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saugoma ir tvarkoma informacija apie genetinės medžiagos produktų vežimo iš patvirtinto genetinės medžiagos produktų ūkio ir į jį datos, nurodant dokumentus, pridėtus prie tų genetinės medžiagos produktų</w:t>
            </w:r>
          </w:p>
          <w:p w14:paraId="062B68A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4A5A244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3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3 skyrius 1 skirsnis 8 straipsnis 1 punkto c) i) papunktis</w:t>
            </w:r>
          </w:p>
        </w:tc>
        <w:tc>
          <w:tcPr>
            <w:tcW w:w="709" w:type="dxa"/>
            <w:tcBorders>
              <w:top w:val="single" w:sz="4" w:space="0" w:color="000000"/>
              <w:left w:val="single" w:sz="4" w:space="0" w:color="000000"/>
              <w:bottom w:val="single" w:sz="4" w:space="0" w:color="000000"/>
              <w:right w:val="single" w:sz="4" w:space="0" w:color="000000"/>
            </w:tcBorders>
          </w:tcPr>
          <w:p w14:paraId="7F2DD92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1CF0C3E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5B99204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1C77508E"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285A237D"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tr w:rsidR="005A094F" w14:paraId="1DD1F584" w14:textId="77777777" w:rsidTr="005A094F">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D4CE4CA" w14:textId="77777777" w:rsidR="005A094F" w:rsidRDefault="005A094F">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 xml:space="preserve">27. </w:t>
            </w:r>
          </w:p>
        </w:tc>
        <w:tc>
          <w:tcPr>
            <w:tcW w:w="2551" w:type="dxa"/>
            <w:tcBorders>
              <w:top w:val="single" w:sz="4" w:space="0" w:color="000000"/>
              <w:left w:val="single" w:sz="4" w:space="0" w:color="000000"/>
              <w:bottom w:val="single" w:sz="4" w:space="0" w:color="000000"/>
              <w:right w:val="single" w:sz="4" w:space="0" w:color="000000"/>
            </w:tcBorders>
          </w:tcPr>
          <w:p w14:paraId="09F21505"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saugomo ir tvarkomi dokumentai, įskaitant veterinarijos sertifikatą ir </w:t>
            </w:r>
            <w:proofErr w:type="spellStart"/>
            <w:r>
              <w:rPr>
                <w:rFonts w:ascii="Times New Roman" w:eastAsia="Arial Unicode MS" w:hAnsi="Times New Roman"/>
                <w:kern w:val="2"/>
                <w:lang w:val="lt-LT" w:eastAsia="lt-LT"/>
                <w14:ligatures w14:val="standardContextual"/>
              </w:rPr>
              <w:t>savideklaraciją</w:t>
            </w:r>
            <w:proofErr w:type="spellEnd"/>
            <w:r>
              <w:rPr>
                <w:rFonts w:ascii="Times New Roman" w:eastAsia="Arial Unicode MS" w:hAnsi="Times New Roman"/>
                <w:kern w:val="2"/>
                <w:lang w:val="lt-LT" w:eastAsia="lt-LT"/>
                <w14:ligatures w14:val="standardContextual"/>
              </w:rPr>
              <w:t>, kuria patvirtinama, kad gyvūnų donorų, kurių genetinės medžiagos produktai yra paruošti ir saugomi arba saugomi patvirtintame genetinės medžiagos produktų ūkyje, sveikatos būklė atitinka šio reglamento reikalavimus</w:t>
            </w:r>
          </w:p>
          <w:p w14:paraId="271D0934"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1FF6E60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3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3 skyrius 1 skirsnis 8 straipsnis 1 punkto c) ii) papunktis</w:t>
            </w:r>
          </w:p>
          <w:p w14:paraId="5DE4A2F1"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74BDB0F"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241F8A52"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690A2448"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51EDCB6"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275" w:type="dxa"/>
            <w:tcBorders>
              <w:top w:val="single" w:sz="4" w:space="0" w:color="000000"/>
              <w:left w:val="single" w:sz="4" w:space="0" w:color="000000"/>
              <w:bottom w:val="single" w:sz="4" w:space="0" w:color="000000"/>
              <w:right w:val="single" w:sz="4" w:space="0" w:color="000000"/>
            </w:tcBorders>
          </w:tcPr>
          <w:p w14:paraId="4C0603F0" w14:textId="77777777" w:rsidR="005A094F" w:rsidRDefault="005A094F">
            <w:pPr>
              <w:shd w:val="clear" w:color="auto" w:fill="FFFFFF"/>
              <w:spacing w:line="256" w:lineRule="auto"/>
              <w:jc w:val="both"/>
              <w:rPr>
                <w:rFonts w:ascii="Times New Roman" w:eastAsia="Arial Unicode MS" w:hAnsi="Times New Roman"/>
                <w:kern w:val="2"/>
                <w:lang w:val="lt-LT" w:eastAsia="lt-LT"/>
                <w14:ligatures w14:val="standardContextual"/>
              </w:rPr>
            </w:pPr>
          </w:p>
        </w:tc>
      </w:tr>
      <w:bookmarkEnd w:id="1"/>
    </w:tbl>
    <w:p w14:paraId="1AC48EF0" w14:textId="77777777" w:rsidR="005A094F" w:rsidRDefault="005A094F" w:rsidP="005A094F">
      <w:pPr>
        <w:jc w:val="both"/>
        <w:rPr>
          <w:rFonts w:ascii="Times New Roman" w:eastAsia="Aptos" w:hAnsi="Times New Roman"/>
          <w:lang w:val="en-US" w:eastAsia="en-US"/>
        </w:rPr>
      </w:pPr>
    </w:p>
    <w:p w14:paraId="01AC59B2" w14:textId="77777777" w:rsidR="005A094F" w:rsidRDefault="005A094F" w:rsidP="005A094F">
      <w:pPr>
        <w:ind w:firstLine="709"/>
        <w:jc w:val="both"/>
        <w:rPr>
          <w:rFonts w:ascii="Times New Roman" w:hAnsi="Times New Roman"/>
          <w:shd w:val="clear" w:color="auto" w:fill="FFFFFF"/>
        </w:rPr>
      </w:pPr>
      <w:r>
        <w:rPr>
          <w:rFonts w:ascii="Times New Roman" w:eastAsia="Arial Unicode MS" w:hAnsi="Times New Roman"/>
          <w:lang w:val="lt-LT" w:eastAsia="lt-LT"/>
        </w:rPr>
        <w:t>[</w:t>
      </w:r>
      <w:hyperlink r:id="rId32" w:history="1">
        <w:r>
          <w:rPr>
            <w:rStyle w:val="Hyperlink"/>
            <w:rFonts w:ascii="Times New Roman" w:eastAsia="Arial Unicode MS" w:hAnsi="Times New Roman"/>
            <w:lang w:val="lt-LT" w:eastAsia="lt-LT"/>
          </w:rPr>
          <w:t>1</w:t>
        </w:r>
      </w:hyperlink>
      <w:r>
        <w:rPr>
          <w:rFonts w:ascii="Times New Roman" w:eastAsia="Arial Unicode MS" w:hAnsi="Times New Roman"/>
          <w:lang w:val="lt-LT" w:eastAsia="lt-LT"/>
        </w:rPr>
        <w:t xml:space="preserve">] </w:t>
      </w:r>
      <w:r>
        <w:rPr>
          <w:rFonts w:ascii="Times New Roman" w:hAnsi="Times New Roman"/>
          <w:shd w:val="clear" w:color="auto" w:fill="FFFFFF"/>
        </w:rPr>
        <w:t>2019 m. gruodžio 17 d. Komisijos deleguotasis reglamentas (ES) 2020/686, kuriuo dėl genetinės medžiagos produktų ūkių patvirtinimo, atsekamumo ir gyvūnų sveikatos reikalavimų, taikomų Sąjungoje vežamiems tam tikrų laikomų sausumos gyvūnų genetinės medžiagos produktams, papildomas Europos Parlamento ir Tarybos reglamentas (ES) 2016/429</w:t>
      </w:r>
    </w:p>
    <w:p w14:paraId="4BF9A03C" w14:textId="77777777" w:rsidR="005A094F" w:rsidRDefault="005A094F" w:rsidP="005A094F">
      <w:pPr>
        <w:ind w:firstLine="709"/>
        <w:jc w:val="center"/>
        <w:rPr>
          <w:rFonts w:ascii="Times New Roman" w:hAnsi="Times New Roman"/>
          <w:shd w:val="clear" w:color="auto" w:fill="FFFFFF"/>
        </w:rPr>
      </w:pPr>
      <w:r>
        <w:rPr>
          <w:rFonts w:ascii="Times New Roman" w:hAnsi="Times New Roman"/>
          <w:shd w:val="clear" w:color="auto" w:fill="FFFFFF"/>
        </w:rPr>
        <w:t>____________________________________________</w:t>
      </w:r>
    </w:p>
    <w:p w14:paraId="4284FBD6" w14:textId="77777777" w:rsidR="005A094F" w:rsidRDefault="005A094F" w:rsidP="005A094F">
      <w:pPr>
        <w:jc w:val="center"/>
        <w:rPr>
          <w:rFonts w:ascii="Times New Roman" w:hAnsi="Times New Roman"/>
        </w:rPr>
      </w:pPr>
    </w:p>
    <w:p w14:paraId="02BE09A7" w14:textId="77777777" w:rsidR="005A094F" w:rsidRDefault="005A094F" w:rsidP="005A094F">
      <w:pPr>
        <w:jc w:val="center"/>
        <w:rPr>
          <w:rFonts w:ascii="Times New Roman" w:hAnsi="Times New Roman"/>
        </w:rPr>
      </w:pPr>
    </w:p>
    <w:p w14:paraId="123A9328"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4F"/>
    <w:rsid w:val="005A094F"/>
    <w:rsid w:val="005A29CB"/>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DA3D"/>
  <w15:chartTrackingRefBased/>
  <w15:docId w15:val="{DB763C9F-763D-4805-AD4E-465F88F9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4F"/>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5A09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5A09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5A09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5A094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5A094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5A09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5A09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5A09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5A094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4F"/>
    <w:rPr>
      <w:rFonts w:eastAsiaTheme="majorEastAsia" w:cstheme="majorBidi"/>
      <w:color w:val="272727" w:themeColor="text1" w:themeTint="D8"/>
    </w:rPr>
  </w:style>
  <w:style w:type="paragraph" w:styleId="Title">
    <w:name w:val="Title"/>
    <w:basedOn w:val="Normal"/>
    <w:next w:val="Normal"/>
    <w:link w:val="TitleChar"/>
    <w:uiPriority w:val="10"/>
    <w:qFormat/>
    <w:rsid w:val="005A094F"/>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5A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5A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4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QuoteChar">
    <w:name w:val="Quote Char"/>
    <w:basedOn w:val="DefaultParagraphFont"/>
    <w:link w:val="Quote"/>
    <w:uiPriority w:val="29"/>
    <w:rsid w:val="005A094F"/>
    <w:rPr>
      <w:i/>
      <w:iCs/>
      <w:color w:val="404040" w:themeColor="text1" w:themeTint="BF"/>
    </w:rPr>
  </w:style>
  <w:style w:type="paragraph" w:styleId="ListParagraph">
    <w:name w:val="List Paragraph"/>
    <w:basedOn w:val="Normal"/>
    <w:uiPriority w:val="34"/>
    <w:qFormat/>
    <w:rsid w:val="005A094F"/>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IntenseEmphasis">
    <w:name w:val="Intense Emphasis"/>
    <w:basedOn w:val="DefaultParagraphFont"/>
    <w:uiPriority w:val="21"/>
    <w:qFormat/>
    <w:rsid w:val="005A094F"/>
    <w:rPr>
      <w:i/>
      <w:iCs/>
      <w:color w:val="0F4761" w:themeColor="accent1" w:themeShade="BF"/>
    </w:rPr>
  </w:style>
  <w:style w:type="paragraph" w:styleId="IntenseQuote">
    <w:name w:val="Intense Quote"/>
    <w:basedOn w:val="Normal"/>
    <w:next w:val="Normal"/>
    <w:link w:val="IntenseQuoteChar"/>
    <w:uiPriority w:val="30"/>
    <w:qFormat/>
    <w:rsid w:val="005A09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5A094F"/>
    <w:rPr>
      <w:i/>
      <w:iCs/>
      <w:color w:val="0F4761" w:themeColor="accent1" w:themeShade="BF"/>
    </w:rPr>
  </w:style>
  <w:style w:type="character" w:styleId="IntenseReference">
    <w:name w:val="Intense Reference"/>
    <w:basedOn w:val="DefaultParagraphFont"/>
    <w:uiPriority w:val="32"/>
    <w:qFormat/>
    <w:rsid w:val="005A094F"/>
    <w:rPr>
      <w:b/>
      <w:bCs/>
      <w:smallCaps/>
      <w:color w:val="0F4761" w:themeColor="accent1" w:themeShade="BF"/>
      <w:spacing w:val="5"/>
    </w:rPr>
  </w:style>
  <w:style w:type="character" w:styleId="Hyperlink">
    <w:name w:val="Hyperlink"/>
    <w:uiPriority w:val="99"/>
    <w:semiHidden/>
    <w:unhideWhenUsed/>
    <w:rsid w:val="005A0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0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02020R0686-20230410" TargetMode="External"/><Relationship Id="rId13" Type="http://schemas.openxmlformats.org/officeDocument/2006/relationships/hyperlink" Target="https://eur-lex.europa.eu/legal-content/LT/TXT/?uri=CELEX%3A02020R0686-20230410" TargetMode="External"/><Relationship Id="rId18" Type="http://schemas.openxmlformats.org/officeDocument/2006/relationships/hyperlink" Target="https://eur-lex.europa.eu/legal-content/LT/TXT/?uri=CELEX%3A02020R0686-20230410" TargetMode="External"/><Relationship Id="rId26" Type="http://schemas.openxmlformats.org/officeDocument/2006/relationships/hyperlink" Target="https://eur-lex.europa.eu/legal-content/LT/TXT/?uri=CELEX%3A02020R0686-20230410" TargetMode="External"/><Relationship Id="rId3" Type="http://schemas.openxmlformats.org/officeDocument/2006/relationships/webSettings" Target="webSettings.xml"/><Relationship Id="rId21" Type="http://schemas.openxmlformats.org/officeDocument/2006/relationships/hyperlink" Target="https://eur-lex.europa.eu/legal-content/LT/TXT/?uri=CELEX%3A02020R0686-20230410" TargetMode="External"/><Relationship Id="rId34" Type="http://schemas.openxmlformats.org/officeDocument/2006/relationships/theme" Target="theme/theme1.xml"/><Relationship Id="rId7" Type="http://schemas.openxmlformats.org/officeDocument/2006/relationships/hyperlink" Target="https://eur-lex.europa.eu/legal-content/LT/TXT/?uri=CELEX%3A02020R0686-20230410" TargetMode="External"/><Relationship Id="rId12" Type="http://schemas.openxmlformats.org/officeDocument/2006/relationships/hyperlink" Target="https://eur-lex.europa.eu/legal-content/LT/TXT/?uri=CELEX%3A02020R0686-20230410" TargetMode="External"/><Relationship Id="rId17" Type="http://schemas.openxmlformats.org/officeDocument/2006/relationships/hyperlink" Target="https://eur-lex.europa.eu/legal-content/LT/TXT/?uri=CELEX%3A02020R0686-20230410" TargetMode="External"/><Relationship Id="rId25" Type="http://schemas.openxmlformats.org/officeDocument/2006/relationships/hyperlink" Target="https://eur-lex.europa.eu/legal-content/LT/TXT/?uri=CELEX%3A02020R0686-2023041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ur-lex.europa.eu/legal-content/LT/TXT/?uri=CELEX%3A02020R0686-20230410" TargetMode="External"/><Relationship Id="rId20" Type="http://schemas.openxmlformats.org/officeDocument/2006/relationships/hyperlink" Target="https://eur-lex.europa.eu/legal-content/LT/TXT/?uri=CELEX%3A02020R0686-20230410" TargetMode="External"/><Relationship Id="rId29" Type="http://schemas.openxmlformats.org/officeDocument/2006/relationships/hyperlink" Target="https://eur-lex.europa.eu/legal-content/LT/TXT/?uri=CELEX%3A02020R0686-20230410" TargetMode="External"/><Relationship Id="rId1" Type="http://schemas.openxmlformats.org/officeDocument/2006/relationships/styles" Target="styles.xml"/><Relationship Id="rId6" Type="http://schemas.openxmlformats.org/officeDocument/2006/relationships/hyperlink" Target="https://eur-lex.europa.eu/legal-content/LT/TXT/?uri=CELEX%3A02020R0686-20230410" TargetMode="External"/><Relationship Id="rId11" Type="http://schemas.openxmlformats.org/officeDocument/2006/relationships/hyperlink" Target="https://eur-lex.europa.eu/legal-content/LT/TXT/?uri=CELEX%3A02020R0686-20230410" TargetMode="External"/><Relationship Id="rId24" Type="http://schemas.openxmlformats.org/officeDocument/2006/relationships/hyperlink" Target="https://eur-lex.europa.eu/legal-content/LT/TXT/?uri=CELEX%3A02020R0686-20230410" TargetMode="External"/><Relationship Id="rId32" Type="http://schemas.openxmlformats.org/officeDocument/2006/relationships/hyperlink" Target="https://eur-lex.europa.eu/legal-content/LT/TXT/?uri=CELEX%3A02020R0686-20230410" TargetMode="External"/><Relationship Id="rId5" Type="http://schemas.openxmlformats.org/officeDocument/2006/relationships/hyperlink" Target="https://eur-lex.europa.eu/legal-content/LT/TXT/?uri=CELEX%3A02020R0686-20230410" TargetMode="External"/><Relationship Id="rId15" Type="http://schemas.openxmlformats.org/officeDocument/2006/relationships/hyperlink" Target="https://eur-lex.europa.eu/legal-content/LT/TXT/?uri=CELEX%3A02020R0686-20230410" TargetMode="External"/><Relationship Id="rId23" Type="http://schemas.openxmlformats.org/officeDocument/2006/relationships/hyperlink" Target="https://eur-lex.europa.eu/legal-content/LT/TXT/?uri=CELEX%3A02020R0686-20230410" TargetMode="External"/><Relationship Id="rId28" Type="http://schemas.openxmlformats.org/officeDocument/2006/relationships/hyperlink" Target="https://eur-lex.europa.eu/legal-content/LT/TXT/?uri=CELEX%3A02020R0686-20230410" TargetMode="External"/><Relationship Id="rId10" Type="http://schemas.openxmlformats.org/officeDocument/2006/relationships/hyperlink" Target="https://eur-lex.europa.eu/legal-content/LT/TXT/?uri=CELEX%3A02020R0686-20230410" TargetMode="External"/><Relationship Id="rId19" Type="http://schemas.openxmlformats.org/officeDocument/2006/relationships/hyperlink" Target="https://eur-lex.europa.eu/legal-content/LT/TXT/?uri=CELEX%3A02020R0686-20230410" TargetMode="External"/><Relationship Id="rId31" Type="http://schemas.openxmlformats.org/officeDocument/2006/relationships/hyperlink" Target="https://eur-lex.europa.eu/legal-content/LT/TXT/?uri=CELEX%3A02020R0686-20230410" TargetMode="External"/><Relationship Id="rId4" Type="http://schemas.openxmlformats.org/officeDocument/2006/relationships/hyperlink" Target="https://eur-lex.europa.eu/legal-content/LT/TXT/?uri=CELEX%3A02020R0686-20230410" TargetMode="External"/><Relationship Id="rId9" Type="http://schemas.openxmlformats.org/officeDocument/2006/relationships/hyperlink" Target="https://eur-lex.europa.eu/legal-content/LT/TXT/?uri=CELEX%3A02020R0686-20230410" TargetMode="External"/><Relationship Id="rId14" Type="http://schemas.openxmlformats.org/officeDocument/2006/relationships/hyperlink" Target="https://eur-lex.europa.eu/legal-content/LT/TXT/?uri=CELEX%3A02020R0686-20230410" TargetMode="External"/><Relationship Id="rId22" Type="http://schemas.openxmlformats.org/officeDocument/2006/relationships/hyperlink" Target="https://eur-lex.europa.eu/legal-content/LT/TXT/?uri=CELEX%3A02020R0686-20230410" TargetMode="External"/><Relationship Id="rId27" Type="http://schemas.openxmlformats.org/officeDocument/2006/relationships/hyperlink" Target="https://eur-lex.europa.eu/legal-content/LT/TXT/?uri=CELEX%3A02020R0686-20230410" TargetMode="External"/><Relationship Id="rId30" Type="http://schemas.openxmlformats.org/officeDocument/2006/relationships/hyperlink" Target="https://eur-lex.europa.eu/legal-content/LT/TXT/?uri=CELEX%3A02020R0686-20230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6051</Words>
  <Characters>3450</Characters>
  <Application>Microsoft Office Word</Application>
  <DocSecurity>0</DocSecurity>
  <Lines>28</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2024-10-24T07:24:00Z</dcterms:created>
  <dcterms:modified xsi:type="dcterms:W3CDTF">2024-10-24T07:25:00Z</dcterms:modified>
</cp:coreProperties>
</file>