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82EA" w14:textId="77777777" w:rsidR="00A27BB1" w:rsidRDefault="00A27BB1" w:rsidP="00A27BB1">
      <w:pPr>
        <w:jc w:val="center"/>
        <w:outlineLvl w:val="0"/>
        <w:rPr>
          <w:b/>
          <w:bCs/>
        </w:rPr>
      </w:pPr>
    </w:p>
    <w:p w14:paraId="672AF74A" w14:textId="638621A5" w:rsidR="00A27BB1" w:rsidRPr="00C5156F" w:rsidRDefault="00A27BB1" w:rsidP="00A27BB1">
      <w:pPr>
        <w:jc w:val="center"/>
        <w:outlineLvl w:val="0"/>
        <w:rPr>
          <w:b/>
          <w:bCs/>
        </w:rPr>
      </w:pPr>
      <w:r w:rsidRPr="00C5156F">
        <w:rPr>
          <w:b/>
          <w:bCs/>
        </w:rPr>
        <w:t>PATEIKTŲ PASIŪLYMŲ ĮGYVENDINIMAS</w:t>
      </w:r>
      <w:r w:rsidRPr="00C5156F">
        <w:rPr>
          <w:rStyle w:val="Puslapioinaosnuoroda"/>
          <w:b/>
          <w:bCs/>
        </w:rPr>
        <w:footnoteReference w:id="1"/>
      </w:r>
    </w:p>
    <w:p w14:paraId="765DB922" w14:textId="77777777" w:rsidR="00A27BB1" w:rsidRPr="00C5156F" w:rsidRDefault="00A27BB1" w:rsidP="00A27BB1">
      <w:pPr>
        <w:jc w:val="center"/>
        <w:rPr>
          <w:b/>
          <w:bCs/>
        </w:rPr>
      </w:pPr>
    </w:p>
    <w:p w14:paraId="049432BC" w14:textId="1109F271" w:rsidR="00A27BB1" w:rsidRDefault="008C24E1" w:rsidP="00A27BB1">
      <w:r>
        <w:tab/>
      </w:r>
      <w:r>
        <w:tab/>
      </w:r>
      <w:r>
        <w:tab/>
      </w:r>
      <w:r>
        <w:tab/>
      </w:r>
      <w:r>
        <w:tab/>
      </w:r>
      <w:r>
        <w:tab/>
      </w:r>
      <w:r>
        <w:tab/>
      </w:r>
      <w:r>
        <w:tab/>
      </w:r>
      <w:r>
        <w:tab/>
      </w:r>
      <w:r>
        <w:tab/>
        <w:t>2026-01-30</w:t>
      </w:r>
    </w:p>
    <w:tbl>
      <w:tblPr>
        <w:tblStyle w:val="Lentelstinklelis"/>
        <w:tblW w:w="0" w:type="auto"/>
        <w:tblLook w:val="04A0" w:firstRow="1" w:lastRow="0" w:firstColumn="1" w:lastColumn="0" w:noHBand="0" w:noVBand="1"/>
      </w:tblPr>
      <w:tblGrid>
        <w:gridCol w:w="3214"/>
        <w:gridCol w:w="3214"/>
        <w:gridCol w:w="5922"/>
        <w:gridCol w:w="1926"/>
      </w:tblGrid>
      <w:tr w:rsidR="00A27BB1" w:rsidRPr="002B3452" w14:paraId="0FBF5055" w14:textId="77777777" w:rsidTr="00783263">
        <w:tc>
          <w:tcPr>
            <w:tcW w:w="3214" w:type="dxa"/>
          </w:tcPr>
          <w:p w14:paraId="446B00A2" w14:textId="77777777" w:rsidR="00A27BB1" w:rsidRPr="008F1D8D" w:rsidRDefault="00A27BB1" w:rsidP="00610745">
            <w:pPr>
              <w:widowControl w:val="0"/>
              <w:jc w:val="center"/>
              <w:rPr>
                <w:i/>
                <w:snapToGrid w:val="0"/>
              </w:rPr>
            </w:pPr>
            <w:r w:rsidRPr="008F1D8D">
              <w:rPr>
                <w:i/>
                <w:snapToGrid w:val="0"/>
              </w:rPr>
              <w:t>Pateiktos pastabos</w:t>
            </w:r>
          </w:p>
        </w:tc>
        <w:tc>
          <w:tcPr>
            <w:tcW w:w="3214" w:type="dxa"/>
          </w:tcPr>
          <w:p w14:paraId="58041261" w14:textId="77777777" w:rsidR="00A27BB1" w:rsidRPr="008F1D8D" w:rsidRDefault="00A27BB1" w:rsidP="00610745">
            <w:pPr>
              <w:widowControl w:val="0"/>
              <w:jc w:val="center"/>
              <w:rPr>
                <w:i/>
                <w:snapToGrid w:val="0"/>
              </w:rPr>
            </w:pPr>
            <w:r w:rsidRPr="008F1D8D">
              <w:rPr>
                <w:i/>
                <w:snapToGrid w:val="0"/>
              </w:rPr>
              <w:t>Pasiūlymai atsižvelgiant į pateiktas pastabas</w:t>
            </w:r>
          </w:p>
        </w:tc>
        <w:tc>
          <w:tcPr>
            <w:tcW w:w="5922" w:type="dxa"/>
          </w:tcPr>
          <w:p w14:paraId="2F41F0AD" w14:textId="77777777" w:rsidR="00A27BB1" w:rsidRPr="008F1D8D" w:rsidRDefault="00A27BB1" w:rsidP="00610745">
            <w:pPr>
              <w:widowControl w:val="0"/>
              <w:jc w:val="center"/>
              <w:rPr>
                <w:i/>
                <w:snapToGrid w:val="0"/>
              </w:rPr>
            </w:pPr>
            <w:r w:rsidRPr="008F1D8D">
              <w:rPr>
                <w:i/>
                <w:snapToGrid w:val="0"/>
              </w:rPr>
              <w:t>Duomenys apie pastabų ir pasiūlymų įgyvendinimą</w:t>
            </w:r>
          </w:p>
        </w:tc>
        <w:tc>
          <w:tcPr>
            <w:tcW w:w="1926" w:type="dxa"/>
          </w:tcPr>
          <w:p w14:paraId="0FBAE3BC" w14:textId="77777777" w:rsidR="00A27BB1" w:rsidRPr="008F1D8D" w:rsidRDefault="00A27BB1" w:rsidP="00610745">
            <w:pPr>
              <w:widowControl w:val="0"/>
              <w:jc w:val="center"/>
              <w:rPr>
                <w:i/>
                <w:snapToGrid w:val="0"/>
              </w:rPr>
            </w:pPr>
            <w:r w:rsidRPr="008F1D8D">
              <w:rPr>
                <w:i/>
                <w:snapToGrid w:val="0"/>
              </w:rPr>
              <w:t>Specialiųjų tyrimų tarnybos vertinimas</w:t>
            </w:r>
          </w:p>
        </w:tc>
      </w:tr>
      <w:tr w:rsidR="00A27BB1" w:rsidRPr="002B3452" w14:paraId="063249BE" w14:textId="77777777" w:rsidTr="00783263">
        <w:tc>
          <w:tcPr>
            <w:tcW w:w="14276" w:type="dxa"/>
            <w:gridSpan w:val="4"/>
          </w:tcPr>
          <w:p w14:paraId="397986B9" w14:textId="77777777" w:rsidR="00A27BB1" w:rsidRPr="008F1D8D" w:rsidRDefault="00A27BB1" w:rsidP="00610745">
            <w:pPr>
              <w:pStyle w:val="Sraopastraipa"/>
              <w:widowControl w:val="0"/>
              <w:numPr>
                <w:ilvl w:val="0"/>
                <w:numId w:val="1"/>
              </w:numPr>
              <w:jc w:val="center"/>
              <w:rPr>
                <w:i/>
                <w:snapToGrid w:val="0"/>
              </w:rPr>
            </w:pPr>
            <w:r w:rsidRPr="008F1D8D">
              <w:rPr>
                <w:i/>
                <w:snapToGrid w:val="0"/>
              </w:rPr>
              <w:t>Kritinės antikorupcinės pastabos</w:t>
            </w:r>
          </w:p>
        </w:tc>
      </w:tr>
      <w:tr w:rsidR="00A27BB1" w:rsidRPr="002B3452" w14:paraId="12254E44" w14:textId="77777777" w:rsidTr="00783263">
        <w:tc>
          <w:tcPr>
            <w:tcW w:w="3214" w:type="dxa"/>
          </w:tcPr>
          <w:p w14:paraId="5243AC07" w14:textId="7B296FF9" w:rsidR="00A27BB1" w:rsidRPr="002B3452" w:rsidRDefault="004A19AA" w:rsidP="00921E17">
            <w:pPr>
              <w:widowControl w:val="0"/>
              <w:jc w:val="both"/>
              <w:rPr>
                <w:snapToGrid w:val="0"/>
              </w:rPr>
            </w:pPr>
            <w:r>
              <w:t xml:space="preserve">6. </w:t>
            </w:r>
            <w:r w:rsidRPr="00B505D5">
              <w:rPr>
                <w:i/>
                <w:iCs/>
              </w:rPr>
              <w:t xml:space="preserve">Neefektyvus tarpinstitucinis bendradarbiavimas, nenuoseklus duomenų mainų mechanizmas ir aiškaus teisinio reguliavimo dėl institucijų informavimo pareigų trūkumas sudaro palankias sąlygas skirtingai interpretacijai, veiklos fragmentacijai bei selektyviam sprendimų taikymui. Informacijos apie pažeidimus ir jų padarinius neperdavimas tarp VMVT, savivaldybių, policijos ir Departamento, taip pat sistemingai neatnaujinami ar neišsamūs duomenys LIS mažina sprendimų atsekamumą, kontrolės efektyvumą ir skaidrumą. Esant tokiai situacijai, ūkio subjektai gali išvengti atsakomybės, kas kelia nesąžiningos konkurencijos riziką. Ši rizika dar labiau sustiprėja nesant centralizuoto skaitmeninio sprendimo, leidžiančio visoms </w:t>
            </w:r>
            <w:r w:rsidRPr="00B505D5">
              <w:rPr>
                <w:i/>
                <w:iCs/>
              </w:rPr>
              <w:lastRenderedPageBreak/>
              <w:t>priežiūros institucijoms laiku identifikuoti rizikingus subjektus, koordinuoti kontrolę ir keistis informacija realiu laiku.</w:t>
            </w:r>
          </w:p>
        </w:tc>
        <w:tc>
          <w:tcPr>
            <w:tcW w:w="3214" w:type="dxa"/>
          </w:tcPr>
          <w:p w14:paraId="73B33319" w14:textId="4BA9FB17" w:rsidR="00AF4594" w:rsidRPr="00B852B8" w:rsidRDefault="005B0FF2" w:rsidP="00AF4594">
            <w:pPr>
              <w:jc w:val="both"/>
            </w:pPr>
            <w:r>
              <w:lastRenderedPageBreak/>
              <w:t xml:space="preserve">17. </w:t>
            </w:r>
            <w:r w:rsidR="00AF4594" w:rsidRPr="00AF4594">
              <w:t xml:space="preserve">Departamentui </w:t>
            </w:r>
            <w:r w:rsidR="00AF4594" w:rsidRPr="00B852B8">
              <w:t xml:space="preserve">(bendradarbiaujant su Lietuvos savivaldybių asociacija), </w:t>
            </w:r>
            <w:r w:rsidR="00AF4594" w:rsidRPr="00D11CEE">
              <w:rPr>
                <w:b/>
                <w:bCs/>
              </w:rPr>
              <w:t>VMVT</w:t>
            </w:r>
            <w:r w:rsidR="00AF4594" w:rsidRPr="00B852B8">
              <w:t xml:space="preserve"> inicijuoti tarpinstitucinį dialogą, sprendžiant duomenų mainų galimus efektyvius būdus, kurie užtikrintų savalaikį informacijos gavimą ir grįžtamąjį ryšį.</w:t>
            </w:r>
          </w:p>
          <w:p w14:paraId="092B769E" w14:textId="77777777" w:rsidR="00A27BB1" w:rsidRPr="002B3452" w:rsidRDefault="00A27BB1" w:rsidP="00610745">
            <w:pPr>
              <w:widowControl w:val="0"/>
              <w:rPr>
                <w:snapToGrid w:val="0"/>
              </w:rPr>
            </w:pPr>
          </w:p>
        </w:tc>
        <w:tc>
          <w:tcPr>
            <w:tcW w:w="5922" w:type="dxa"/>
          </w:tcPr>
          <w:p w14:paraId="60CBB486" w14:textId="1776094F" w:rsidR="00FB1817" w:rsidRDefault="00FB1817" w:rsidP="00FB1817">
            <w:pPr>
              <w:widowControl w:val="0"/>
              <w:jc w:val="both"/>
              <w:rPr>
                <w:snapToGrid w:val="0"/>
              </w:rPr>
            </w:pPr>
            <w:r>
              <w:rPr>
                <w:snapToGrid w:val="0"/>
              </w:rPr>
              <w:t>Rekomendacijų įgyvendinimo priemonės nustatytos VMVT korupcijos prevencijos plano papildyme, kur nustatyta:</w:t>
            </w:r>
          </w:p>
          <w:p w14:paraId="1BFF97CF" w14:textId="430FB263" w:rsidR="00FB1817" w:rsidRPr="00FB1817" w:rsidRDefault="00FB1817" w:rsidP="00FB1817">
            <w:pPr>
              <w:widowControl w:val="0"/>
              <w:jc w:val="both"/>
              <w:rPr>
                <w:snapToGrid w:val="0"/>
              </w:rPr>
            </w:pPr>
            <w:r w:rsidRPr="00FB1817">
              <w:rPr>
                <w:snapToGrid w:val="0"/>
              </w:rPr>
              <w:t xml:space="preserve">Narkotikų, tabako ir alkoholio kontrolės departamentui toliau – NTAKD) organizavus tarpinstitucinį dialogą, dalyvauti susitikimuose ir jų metu susitarti dėl priimtino duomenų keitimosi mechanizmo užtikrinant, kad ne vėliau </w:t>
            </w:r>
          </w:p>
          <w:p w14:paraId="0A31A050" w14:textId="77777777" w:rsidR="00A27BB1" w:rsidRPr="00785CFD" w:rsidRDefault="00FB1817" w:rsidP="00FB1817">
            <w:pPr>
              <w:widowControl w:val="0"/>
              <w:jc w:val="both"/>
              <w:rPr>
                <w:snapToGrid w:val="0"/>
              </w:rPr>
            </w:pPr>
            <w:r w:rsidRPr="00FB1817">
              <w:rPr>
                <w:snapToGrid w:val="0"/>
              </w:rPr>
              <w:t>kaip per 3 darbo dienas apie VMVT priimtą sprendimą dėl maisto tvarkymo subjekto veiklos sustabdymo ir (ar)</w:t>
            </w:r>
            <w:r>
              <w:rPr>
                <w:snapToGrid w:val="0"/>
              </w:rPr>
              <w:t xml:space="preserve"> </w:t>
            </w:r>
            <w:r w:rsidRPr="00FB1817">
              <w:rPr>
                <w:snapToGrid w:val="0"/>
              </w:rPr>
              <w:t>panaikinimo būtų informuojamas NTAKD ir atitinkama savivaldybė,</w:t>
            </w:r>
            <w:r>
              <w:rPr>
                <w:snapToGrid w:val="0"/>
              </w:rPr>
              <w:t xml:space="preserve"> </w:t>
            </w:r>
            <w:r w:rsidRPr="00FB1817">
              <w:rPr>
                <w:snapToGrid w:val="0"/>
              </w:rPr>
              <w:t>išdavusi prekybos alkoholiu licenciją.</w:t>
            </w:r>
            <w:r>
              <w:rPr>
                <w:snapToGrid w:val="0"/>
              </w:rPr>
              <w:t xml:space="preserve"> </w:t>
            </w:r>
            <w:r w:rsidRPr="00785CFD">
              <w:rPr>
                <w:snapToGrid w:val="0"/>
              </w:rPr>
              <w:t>(Bus įgyvendinta, kai NTAKD organizuos dialogą)</w:t>
            </w:r>
          </w:p>
          <w:p w14:paraId="6FC6CAE9" w14:textId="77777777" w:rsidR="00103FE6" w:rsidRPr="00103FE6" w:rsidRDefault="00103FE6" w:rsidP="00103FE6">
            <w:pPr>
              <w:widowControl w:val="0"/>
              <w:jc w:val="both"/>
              <w:rPr>
                <w:b/>
                <w:bCs/>
                <w:snapToGrid w:val="0"/>
                <w:color w:val="70AD47" w:themeColor="accent6"/>
              </w:rPr>
            </w:pPr>
            <w:r w:rsidRPr="00103FE6">
              <w:rPr>
                <w:b/>
                <w:bCs/>
                <w:snapToGrid w:val="0"/>
                <w:color w:val="70AD47" w:themeColor="accent6"/>
              </w:rPr>
              <w:t>Nebeaktualu.</w:t>
            </w:r>
          </w:p>
          <w:p w14:paraId="6372385B" w14:textId="73E21ADC" w:rsidR="00103FE6" w:rsidRPr="00103FE6" w:rsidRDefault="00103FE6" w:rsidP="00103FE6">
            <w:pPr>
              <w:widowControl w:val="0"/>
              <w:jc w:val="both"/>
              <w:rPr>
                <w:snapToGrid w:val="0"/>
              </w:rPr>
            </w:pPr>
            <w:r w:rsidRPr="00103FE6">
              <w:rPr>
                <w:snapToGrid w:val="0"/>
              </w:rPr>
              <w:t>Bendradarbiaujant su V. Į. Registrų centras“ VMVT atkūrė sąsajos tarp FIS ir LIS sistemų veikimą, bei duomenų apie VMVT priimtą sprendimą dėl maisto tvarkymo subjekto veiklos sustabdymo ir (ar) panaikinimo perdavimas vyksta korektiškai. EIMIN duomenimis LIS yra sukurtas funkcionalumas kuris leidžia susieti skirtingų institucijų išduotas licencijas. Susiejus konkrečiam ūkio subjektui išduotą alkoholio licenciją su tam pačiam ūkio subjektui išduotu maisto tvarkymo subjekto pažymėjimu, jei šio pažymėjimo galiojimas sustabdomas, sustabdymas panaikinamas arba panaikinamas pažymėjimo galiojimas, susietą alkoholio licenciją išduodanti institucija automatiškai informuojama apie pažymėjimo galiojimo apribojimus.</w:t>
            </w:r>
          </w:p>
        </w:tc>
        <w:tc>
          <w:tcPr>
            <w:tcW w:w="1926" w:type="dxa"/>
          </w:tcPr>
          <w:p w14:paraId="2FE8D44D" w14:textId="77777777" w:rsidR="00A27BB1" w:rsidRPr="002B3452" w:rsidRDefault="00A27BB1" w:rsidP="00610745">
            <w:pPr>
              <w:widowControl w:val="0"/>
              <w:rPr>
                <w:snapToGrid w:val="0"/>
              </w:rPr>
            </w:pPr>
          </w:p>
        </w:tc>
      </w:tr>
      <w:tr w:rsidR="00A27BB1" w:rsidRPr="002B3452" w14:paraId="1162B179" w14:textId="77777777" w:rsidTr="00783263">
        <w:tc>
          <w:tcPr>
            <w:tcW w:w="3214" w:type="dxa"/>
          </w:tcPr>
          <w:p w14:paraId="3C383456" w14:textId="772636B0" w:rsidR="00A27BB1" w:rsidRPr="00B505D5" w:rsidRDefault="00046CAA" w:rsidP="00921E17">
            <w:pPr>
              <w:widowControl w:val="0"/>
              <w:jc w:val="both"/>
              <w:rPr>
                <w:i/>
                <w:iCs/>
                <w:snapToGrid w:val="0"/>
              </w:rPr>
            </w:pPr>
            <w:r w:rsidRPr="00B505D5">
              <w:rPr>
                <w:i/>
                <w:iCs/>
              </w:rPr>
              <w:t>7. Nepakankamai tikslus, vientisas ir nuoseklus su licencijų išdavimu susijusių duomenų valdymas, taip pat nepakankamas informacinių sistemų funkcionalumas bei duomenų neatitikimai tarp viešų šaltinių sudaro prielaidas selektyviam sprendimų viešinimui, nepakankamai užtikrina sprendimų atsekamumą ir sudaro sąlygas korupcijos rizikoms pasireikšti</w:t>
            </w:r>
            <w:r w:rsidR="00B505D5">
              <w:rPr>
                <w:i/>
                <w:iCs/>
              </w:rPr>
              <w:t>.</w:t>
            </w:r>
          </w:p>
        </w:tc>
        <w:tc>
          <w:tcPr>
            <w:tcW w:w="3214" w:type="dxa"/>
          </w:tcPr>
          <w:p w14:paraId="1E89B877" w14:textId="77777777" w:rsidR="005B0FF2" w:rsidRPr="00815D6A" w:rsidRDefault="005B0FF2" w:rsidP="005B0FF2">
            <w:pPr>
              <w:jc w:val="both"/>
            </w:pPr>
            <w:r>
              <w:t>19</w:t>
            </w:r>
            <w:r w:rsidRPr="00815D6A">
              <w:t xml:space="preserve">. </w:t>
            </w:r>
            <w:r w:rsidRPr="0032009C">
              <w:rPr>
                <w:b/>
                <w:bCs/>
              </w:rPr>
              <w:t xml:space="preserve">VMVT </w:t>
            </w:r>
            <w:r w:rsidRPr="00815D6A">
              <w:t>imtis kontrolės priemonių, užtikrinant, kad:</w:t>
            </w:r>
          </w:p>
          <w:p w14:paraId="24767BAF" w14:textId="77777777" w:rsidR="005B0FF2" w:rsidRPr="00815D6A" w:rsidRDefault="005B0FF2" w:rsidP="005B0FF2">
            <w:pPr>
              <w:jc w:val="both"/>
            </w:pPr>
            <w:r>
              <w:t>19</w:t>
            </w:r>
            <w:r w:rsidRPr="00815D6A">
              <w:t>.1. LIS būtų laiku suvedami ir atnaujinami duomenys, aktualūs licencijos išdavimui, jos galiojimo sustabdymui ar panaikinimui;</w:t>
            </w:r>
          </w:p>
          <w:p w14:paraId="7073A2DE" w14:textId="77777777" w:rsidR="005B0FF2" w:rsidRPr="00815D6A" w:rsidRDefault="005B0FF2" w:rsidP="005B0FF2">
            <w:pPr>
              <w:jc w:val="both"/>
            </w:pPr>
            <w:r>
              <w:t>19</w:t>
            </w:r>
            <w:r w:rsidRPr="00815D6A">
              <w:t>.2. apie bet kokius maisto tvarkymo subjektų registravimo būsenos pasikeitimus būtų laiku informuotos savivaldybės ir Departamentas, o LIS nurodytas šių pasikeitimų teisinis pagrindas (sprendimo Nr., data ir (ar) teisės akto nuostata).</w:t>
            </w:r>
          </w:p>
          <w:p w14:paraId="533C9278" w14:textId="77777777" w:rsidR="00A27BB1" w:rsidRPr="002B3452" w:rsidRDefault="00A27BB1" w:rsidP="00610745">
            <w:pPr>
              <w:widowControl w:val="0"/>
              <w:rPr>
                <w:snapToGrid w:val="0"/>
              </w:rPr>
            </w:pPr>
          </w:p>
        </w:tc>
        <w:tc>
          <w:tcPr>
            <w:tcW w:w="5922" w:type="dxa"/>
          </w:tcPr>
          <w:p w14:paraId="16E26E1A" w14:textId="77777777" w:rsidR="00A27BB1" w:rsidRDefault="00FB1817" w:rsidP="00FB1817">
            <w:pPr>
              <w:widowControl w:val="0"/>
              <w:jc w:val="both"/>
              <w:rPr>
                <w:snapToGrid w:val="0"/>
              </w:rPr>
            </w:pPr>
            <w:r>
              <w:rPr>
                <w:snapToGrid w:val="0"/>
              </w:rPr>
              <w:t>Plane numatytos priemonės:</w:t>
            </w:r>
          </w:p>
          <w:p w14:paraId="1FA3ECA8" w14:textId="77777777" w:rsidR="00785CFD" w:rsidRDefault="00FB1817" w:rsidP="00FB1817">
            <w:pPr>
              <w:pStyle w:val="Sraopastraipa"/>
              <w:widowControl w:val="0"/>
              <w:numPr>
                <w:ilvl w:val="0"/>
                <w:numId w:val="2"/>
              </w:numPr>
              <w:jc w:val="both"/>
              <w:rPr>
                <w:snapToGrid w:val="0"/>
              </w:rPr>
            </w:pPr>
            <w:r>
              <w:rPr>
                <w:snapToGrid w:val="0"/>
              </w:rPr>
              <w:t>Kadangi VMVT duomenis į LIS teikia per duomenų mainų sąsają, bet dėl neaiškių priežasčių tie duomenys neatsispindi LIS, i</w:t>
            </w:r>
            <w:r w:rsidRPr="00FB1817">
              <w:rPr>
                <w:snapToGrid w:val="0"/>
              </w:rPr>
              <w:t xml:space="preserve">nicijuotas oficialus kreipimasis į V. Į. Registrų centrą su prašymu užtikrinti sąsajos tarp FIS ir LIS duomenų mainų veikimą. </w:t>
            </w:r>
          </w:p>
          <w:p w14:paraId="7019A90F" w14:textId="70DB143A" w:rsidR="00FB1817" w:rsidRDefault="00FB1817" w:rsidP="00785CFD">
            <w:pPr>
              <w:pStyle w:val="Sraopastraipa"/>
              <w:widowControl w:val="0"/>
              <w:jc w:val="both"/>
              <w:rPr>
                <w:b/>
                <w:bCs/>
                <w:snapToGrid w:val="0"/>
                <w:color w:val="70AD47" w:themeColor="accent6"/>
              </w:rPr>
            </w:pPr>
            <w:r w:rsidRPr="00103FE6">
              <w:rPr>
                <w:b/>
                <w:bCs/>
                <w:snapToGrid w:val="0"/>
                <w:color w:val="70AD47" w:themeColor="accent6"/>
              </w:rPr>
              <w:t>Įgyvendinta</w:t>
            </w:r>
          </w:p>
          <w:p w14:paraId="0D3D3D69" w14:textId="29787F4A" w:rsidR="00785CFD" w:rsidRPr="00FB1817" w:rsidRDefault="00785CFD" w:rsidP="00785CFD">
            <w:pPr>
              <w:pStyle w:val="Sraopastraipa"/>
              <w:widowControl w:val="0"/>
              <w:jc w:val="both"/>
              <w:rPr>
                <w:snapToGrid w:val="0"/>
              </w:rPr>
            </w:pPr>
            <w:r w:rsidRPr="00785CFD">
              <w:rPr>
                <w:snapToGrid w:val="0"/>
              </w:rPr>
              <w:t>2025-11-19 raštas išsiųstas V. Į. Registrų centras</w:t>
            </w:r>
          </w:p>
          <w:p w14:paraId="734388FE" w14:textId="442D6FD2" w:rsidR="00FB1817" w:rsidRDefault="00FB1817" w:rsidP="00FB1817">
            <w:pPr>
              <w:pStyle w:val="Sraopastraipa"/>
              <w:widowControl w:val="0"/>
              <w:numPr>
                <w:ilvl w:val="0"/>
                <w:numId w:val="2"/>
              </w:numPr>
              <w:jc w:val="both"/>
              <w:rPr>
                <w:snapToGrid w:val="0"/>
              </w:rPr>
            </w:pPr>
            <w:r w:rsidRPr="00FB1817">
              <w:rPr>
                <w:snapToGrid w:val="0"/>
              </w:rPr>
              <w:t xml:space="preserve">Atsižvelgus į V. Į. Registrų centro identifikuotas FIS ir LIS duomenų mainų neveikimo priežastis, bendradarbiauti su V. Į. Registrų centro specialistais </w:t>
            </w:r>
          </w:p>
          <w:p w14:paraId="6FA0CF8F" w14:textId="30A85322" w:rsidR="00103FE6" w:rsidRPr="00103FE6" w:rsidRDefault="00103FE6" w:rsidP="00103FE6">
            <w:pPr>
              <w:pStyle w:val="Sraopastraipa"/>
              <w:widowControl w:val="0"/>
              <w:jc w:val="both"/>
              <w:rPr>
                <w:snapToGrid w:val="0"/>
                <w:color w:val="70AD47" w:themeColor="accent6"/>
              </w:rPr>
            </w:pPr>
            <w:r w:rsidRPr="00103FE6">
              <w:rPr>
                <w:snapToGrid w:val="0"/>
                <w:color w:val="70AD47" w:themeColor="accent6"/>
              </w:rPr>
              <w:t>Įgyvendinta</w:t>
            </w:r>
          </w:p>
          <w:p w14:paraId="0079A40A" w14:textId="65516F0D" w:rsidR="00103FE6" w:rsidRDefault="00103FE6" w:rsidP="00103FE6">
            <w:pPr>
              <w:pStyle w:val="Sraopastraipa"/>
              <w:widowControl w:val="0"/>
              <w:jc w:val="both"/>
              <w:rPr>
                <w:snapToGrid w:val="0"/>
              </w:rPr>
            </w:pPr>
            <w:r>
              <w:rPr>
                <w:snapToGrid w:val="0"/>
              </w:rPr>
              <w:t xml:space="preserve">VMVT bendradarbiaujant su V. Į. Registrų centras, </w:t>
            </w:r>
            <w:r>
              <w:t xml:space="preserve"> </w:t>
            </w:r>
            <w:r w:rsidRPr="00103FE6">
              <w:rPr>
                <w:snapToGrid w:val="0"/>
              </w:rPr>
              <w:t>atk</w:t>
            </w:r>
            <w:r>
              <w:rPr>
                <w:snapToGrid w:val="0"/>
              </w:rPr>
              <w:t>urtas</w:t>
            </w:r>
            <w:r w:rsidRPr="00103FE6">
              <w:rPr>
                <w:snapToGrid w:val="0"/>
              </w:rPr>
              <w:t xml:space="preserve"> sąsajos tarp FIS ir LIS sistemų veikim</w:t>
            </w:r>
            <w:r>
              <w:rPr>
                <w:snapToGrid w:val="0"/>
              </w:rPr>
              <w:t>as</w:t>
            </w:r>
            <w:r w:rsidRPr="00103FE6">
              <w:rPr>
                <w:snapToGrid w:val="0"/>
              </w:rPr>
              <w:t>, bei duomenų apie VMVT priimtą sprendimą dėl maisto tvarkymo subjekto veiklos sustabdymo ir (ar) panaikinimo perdavimas vyksta korektiškai.</w:t>
            </w:r>
          </w:p>
          <w:p w14:paraId="5C2424C2" w14:textId="22709DAA" w:rsidR="00FB1817" w:rsidRDefault="00FB1817" w:rsidP="00FB1817">
            <w:pPr>
              <w:pStyle w:val="Sraopastraipa"/>
              <w:widowControl w:val="0"/>
              <w:numPr>
                <w:ilvl w:val="0"/>
                <w:numId w:val="2"/>
              </w:numPr>
              <w:jc w:val="both"/>
              <w:rPr>
                <w:snapToGrid w:val="0"/>
              </w:rPr>
            </w:pPr>
            <w:r w:rsidRPr="00FB1817">
              <w:rPr>
                <w:snapToGrid w:val="0"/>
              </w:rPr>
              <w:t>Parengti VMVT įsakymą ir juo reglamentuoti informacijos pateikimo NTAKD ir savivaldybei, išdavusiai prekybos alkoholiu licenciją, būdus ir tvarką, kai VMVT sustabdo ar panaikina maisto tvarkymo ūkio subjekto veiklą</w:t>
            </w:r>
            <w:r>
              <w:rPr>
                <w:snapToGrid w:val="0"/>
              </w:rPr>
              <w:t>.</w:t>
            </w:r>
          </w:p>
          <w:p w14:paraId="73F95BB9" w14:textId="1B3DB719" w:rsidR="00103FE6" w:rsidRDefault="00103FE6" w:rsidP="00103FE6">
            <w:pPr>
              <w:pStyle w:val="Sraopastraipa"/>
              <w:widowControl w:val="0"/>
              <w:jc w:val="both"/>
              <w:rPr>
                <w:snapToGrid w:val="0"/>
              </w:rPr>
            </w:pPr>
            <w:r w:rsidRPr="00103FE6">
              <w:rPr>
                <w:snapToGrid w:val="0"/>
                <w:color w:val="70AD47" w:themeColor="accent6"/>
              </w:rPr>
              <w:t>Neaktualu</w:t>
            </w:r>
          </w:p>
          <w:p w14:paraId="5D07AA96" w14:textId="4B47509E" w:rsidR="00103FE6" w:rsidRDefault="00103FE6" w:rsidP="00103FE6">
            <w:pPr>
              <w:pStyle w:val="Sraopastraipa"/>
              <w:widowControl w:val="0"/>
              <w:jc w:val="both"/>
              <w:rPr>
                <w:snapToGrid w:val="0"/>
              </w:rPr>
            </w:pPr>
            <w:r w:rsidRPr="00103FE6">
              <w:rPr>
                <w:snapToGrid w:val="0"/>
              </w:rPr>
              <w:t xml:space="preserve">EIMIN duomenimis LIS yra sukurtas funkcionalumas kuris leidžia susieti skirtingų institucijų išduotas licencijas. Susiejus konkrečiam ūkio subjektui išduotą alkoholio licenciją su tam pačiam ūkio subjektui išduotu maisto tvarkymo subjekto pažymėjimu, jei šio pažymėjimo galiojimas sustabdomas, sustabdymas panaikinamas arba panaikinamas pažymėjimo galiojimas, susietą alkoholio licenciją išduodanti institucija </w:t>
            </w:r>
            <w:r w:rsidRPr="00103FE6">
              <w:rPr>
                <w:snapToGrid w:val="0"/>
              </w:rPr>
              <w:lastRenderedPageBreak/>
              <w:t>automatiškai informuojama apie pažymėjimo galiojimo apribojimus</w:t>
            </w:r>
            <w:r>
              <w:rPr>
                <w:snapToGrid w:val="0"/>
              </w:rPr>
              <w:t>, todėl papildomas VMVT informacijos teikimo reglamentavimas nebeaktualus.</w:t>
            </w:r>
          </w:p>
          <w:p w14:paraId="6F37892C" w14:textId="77777777" w:rsidR="00FB1817" w:rsidRDefault="00FB1817" w:rsidP="00FB1817">
            <w:pPr>
              <w:pStyle w:val="Sraopastraipa"/>
              <w:widowControl w:val="0"/>
              <w:numPr>
                <w:ilvl w:val="0"/>
                <w:numId w:val="2"/>
              </w:numPr>
              <w:jc w:val="both"/>
              <w:rPr>
                <w:snapToGrid w:val="0"/>
              </w:rPr>
            </w:pPr>
            <w:r w:rsidRPr="00FB1817">
              <w:rPr>
                <w:snapToGrid w:val="0"/>
              </w:rPr>
              <w:t>Pranešti NTAKD ir savivaldybių asociacijai apie VMVT nustatytą informavimo tvarką dėl ūkio</w:t>
            </w:r>
            <w:r>
              <w:rPr>
                <w:snapToGrid w:val="0"/>
              </w:rPr>
              <w:t xml:space="preserve"> </w:t>
            </w:r>
            <w:r w:rsidRPr="00FB1817">
              <w:rPr>
                <w:snapToGrid w:val="0"/>
              </w:rPr>
              <w:t>subjektų veiklos sustabdymo ar nutraukimo</w:t>
            </w:r>
            <w:r>
              <w:rPr>
                <w:snapToGrid w:val="0"/>
              </w:rPr>
              <w:t>.</w:t>
            </w:r>
          </w:p>
          <w:p w14:paraId="1AFBDE4B" w14:textId="77777777" w:rsidR="00103FE6" w:rsidRPr="00785CFD" w:rsidRDefault="00103FE6" w:rsidP="00103FE6">
            <w:pPr>
              <w:pStyle w:val="Sraopastraipa"/>
              <w:widowControl w:val="0"/>
              <w:jc w:val="both"/>
              <w:rPr>
                <w:snapToGrid w:val="0"/>
                <w:color w:val="70AD47" w:themeColor="accent6"/>
              </w:rPr>
            </w:pPr>
            <w:r w:rsidRPr="00785CFD">
              <w:rPr>
                <w:snapToGrid w:val="0"/>
                <w:color w:val="70AD47" w:themeColor="accent6"/>
              </w:rPr>
              <w:t>Neaktualu</w:t>
            </w:r>
          </w:p>
          <w:p w14:paraId="55CBED85" w14:textId="12074B22" w:rsidR="00103FE6" w:rsidRPr="00FB1817" w:rsidRDefault="00103FE6" w:rsidP="00103FE6">
            <w:pPr>
              <w:pStyle w:val="Sraopastraipa"/>
              <w:widowControl w:val="0"/>
              <w:jc w:val="both"/>
              <w:rPr>
                <w:snapToGrid w:val="0"/>
              </w:rPr>
            </w:pPr>
            <w:r>
              <w:rPr>
                <w:snapToGrid w:val="0"/>
              </w:rPr>
              <w:t xml:space="preserve">Atsižvelgus į LIS ir FIS sąsajos veikimo atnaujinimą, bei į tai, kad </w:t>
            </w:r>
            <w:r w:rsidR="00785CFD">
              <w:rPr>
                <w:snapToGrid w:val="0"/>
              </w:rPr>
              <w:t>s</w:t>
            </w:r>
            <w:r w:rsidR="00785CFD" w:rsidRPr="00785CFD">
              <w:rPr>
                <w:snapToGrid w:val="0"/>
              </w:rPr>
              <w:t xml:space="preserve">usiejus konkrečiam ūkio subjektui išduotą alkoholio licenciją su tam pačiam ūkio subjektui išduotu maisto tvarkymo subjekto pažymėjimu, jei šio pažymėjimo galiojimas sustabdomas, sustabdymas panaikinamas arba panaikinamas pažymėjimo galiojimas, susietą alkoholio licenciją išduodanti institucija automatiškai informuojama apie pažymėjimo galiojimo apribojimus, todėl papildomas VMVT informacijos teikimo reglamentavimas </w:t>
            </w:r>
            <w:r w:rsidR="00785CFD">
              <w:rPr>
                <w:snapToGrid w:val="0"/>
              </w:rPr>
              <w:t>bei NTAKD ir savivaldybių asociacijos informavimas nebeaktualus</w:t>
            </w:r>
          </w:p>
        </w:tc>
        <w:tc>
          <w:tcPr>
            <w:tcW w:w="1926" w:type="dxa"/>
          </w:tcPr>
          <w:p w14:paraId="0B63DEB0" w14:textId="77777777" w:rsidR="00A27BB1" w:rsidRPr="002B3452" w:rsidRDefault="00A27BB1" w:rsidP="00610745">
            <w:pPr>
              <w:widowControl w:val="0"/>
              <w:rPr>
                <w:snapToGrid w:val="0"/>
              </w:rPr>
            </w:pPr>
          </w:p>
        </w:tc>
      </w:tr>
      <w:tr w:rsidR="00A27BB1" w:rsidRPr="002B3452" w14:paraId="6B9FC00D" w14:textId="77777777" w:rsidTr="00783263">
        <w:tc>
          <w:tcPr>
            <w:tcW w:w="3214" w:type="dxa"/>
          </w:tcPr>
          <w:p w14:paraId="123F36E4" w14:textId="77777777" w:rsidR="00A27BB1" w:rsidRPr="002B3452" w:rsidRDefault="00A27BB1" w:rsidP="00610745">
            <w:pPr>
              <w:widowControl w:val="0"/>
              <w:rPr>
                <w:snapToGrid w:val="0"/>
              </w:rPr>
            </w:pPr>
          </w:p>
        </w:tc>
        <w:tc>
          <w:tcPr>
            <w:tcW w:w="3214" w:type="dxa"/>
          </w:tcPr>
          <w:p w14:paraId="1E298AB1" w14:textId="77777777" w:rsidR="00A27BB1" w:rsidRPr="002B3452" w:rsidRDefault="00A27BB1" w:rsidP="00610745">
            <w:pPr>
              <w:widowControl w:val="0"/>
              <w:rPr>
                <w:snapToGrid w:val="0"/>
              </w:rPr>
            </w:pPr>
          </w:p>
        </w:tc>
        <w:tc>
          <w:tcPr>
            <w:tcW w:w="5922" w:type="dxa"/>
          </w:tcPr>
          <w:p w14:paraId="3ABA752E" w14:textId="77777777" w:rsidR="00A27BB1" w:rsidRPr="002B3452" w:rsidRDefault="00A27BB1" w:rsidP="00610745">
            <w:pPr>
              <w:widowControl w:val="0"/>
              <w:rPr>
                <w:snapToGrid w:val="0"/>
              </w:rPr>
            </w:pPr>
          </w:p>
        </w:tc>
        <w:tc>
          <w:tcPr>
            <w:tcW w:w="1926" w:type="dxa"/>
          </w:tcPr>
          <w:p w14:paraId="1E2E2720" w14:textId="77777777" w:rsidR="00A27BB1" w:rsidRPr="002B3452" w:rsidRDefault="00A27BB1" w:rsidP="00610745">
            <w:pPr>
              <w:widowControl w:val="0"/>
              <w:rPr>
                <w:snapToGrid w:val="0"/>
              </w:rPr>
            </w:pPr>
          </w:p>
        </w:tc>
      </w:tr>
      <w:tr w:rsidR="00A27BB1" w:rsidRPr="002B3452" w14:paraId="58C37F53" w14:textId="77777777" w:rsidTr="00783263">
        <w:tc>
          <w:tcPr>
            <w:tcW w:w="14276" w:type="dxa"/>
            <w:gridSpan w:val="4"/>
          </w:tcPr>
          <w:p w14:paraId="6A97B339" w14:textId="77777777" w:rsidR="00A27BB1" w:rsidRPr="008F1D8D" w:rsidRDefault="00A27BB1" w:rsidP="00610745">
            <w:pPr>
              <w:pStyle w:val="Sraopastraipa"/>
              <w:widowControl w:val="0"/>
              <w:numPr>
                <w:ilvl w:val="0"/>
                <w:numId w:val="1"/>
              </w:numPr>
              <w:jc w:val="center"/>
              <w:rPr>
                <w:i/>
                <w:snapToGrid w:val="0"/>
              </w:rPr>
            </w:pPr>
            <w:r w:rsidRPr="008F1D8D">
              <w:rPr>
                <w:i/>
                <w:snapToGrid w:val="0"/>
              </w:rPr>
              <w:t>Kitos antikorupcinės pastabos</w:t>
            </w:r>
          </w:p>
        </w:tc>
      </w:tr>
      <w:tr w:rsidR="00A27BB1" w:rsidRPr="002B3452" w14:paraId="64357E11" w14:textId="77777777" w:rsidTr="00783263">
        <w:tc>
          <w:tcPr>
            <w:tcW w:w="3214" w:type="dxa"/>
          </w:tcPr>
          <w:p w14:paraId="71D1DE6B" w14:textId="77777777" w:rsidR="00A27BB1" w:rsidRPr="002B3452" w:rsidRDefault="00A27BB1" w:rsidP="00610745">
            <w:pPr>
              <w:widowControl w:val="0"/>
              <w:rPr>
                <w:snapToGrid w:val="0"/>
              </w:rPr>
            </w:pPr>
          </w:p>
        </w:tc>
        <w:tc>
          <w:tcPr>
            <w:tcW w:w="3214" w:type="dxa"/>
          </w:tcPr>
          <w:p w14:paraId="1B4E912E" w14:textId="77777777" w:rsidR="00A27BB1" w:rsidRPr="002B3452" w:rsidRDefault="00A27BB1" w:rsidP="00610745">
            <w:pPr>
              <w:widowControl w:val="0"/>
              <w:rPr>
                <w:snapToGrid w:val="0"/>
              </w:rPr>
            </w:pPr>
          </w:p>
        </w:tc>
        <w:tc>
          <w:tcPr>
            <w:tcW w:w="5922" w:type="dxa"/>
          </w:tcPr>
          <w:p w14:paraId="3024512D" w14:textId="77777777" w:rsidR="00A27BB1" w:rsidRPr="002B3452" w:rsidRDefault="00A27BB1" w:rsidP="00610745">
            <w:pPr>
              <w:widowControl w:val="0"/>
              <w:rPr>
                <w:snapToGrid w:val="0"/>
              </w:rPr>
            </w:pPr>
          </w:p>
        </w:tc>
        <w:tc>
          <w:tcPr>
            <w:tcW w:w="1926" w:type="dxa"/>
          </w:tcPr>
          <w:p w14:paraId="7C4AFF6A" w14:textId="77777777" w:rsidR="00A27BB1" w:rsidRPr="002B3452" w:rsidRDefault="00A27BB1" w:rsidP="00610745">
            <w:pPr>
              <w:widowControl w:val="0"/>
              <w:rPr>
                <w:snapToGrid w:val="0"/>
              </w:rPr>
            </w:pPr>
          </w:p>
        </w:tc>
      </w:tr>
      <w:tr w:rsidR="00A27BB1" w:rsidRPr="002B3452" w14:paraId="685095CB" w14:textId="77777777" w:rsidTr="00783263">
        <w:tc>
          <w:tcPr>
            <w:tcW w:w="14276" w:type="dxa"/>
            <w:gridSpan w:val="4"/>
          </w:tcPr>
          <w:p w14:paraId="7332360D" w14:textId="77777777" w:rsidR="00A27BB1" w:rsidRPr="008F1D8D" w:rsidRDefault="00A27BB1" w:rsidP="00610745">
            <w:pPr>
              <w:pStyle w:val="Sraopastraipa"/>
              <w:widowControl w:val="0"/>
              <w:numPr>
                <w:ilvl w:val="0"/>
                <w:numId w:val="1"/>
              </w:numPr>
              <w:jc w:val="center"/>
              <w:rPr>
                <w:i/>
                <w:snapToGrid w:val="0"/>
              </w:rPr>
            </w:pPr>
            <w:r w:rsidRPr="008F1D8D">
              <w:rPr>
                <w:i/>
                <w:snapToGrid w:val="0"/>
              </w:rPr>
              <w:t>Kitos pastabos</w:t>
            </w:r>
          </w:p>
        </w:tc>
      </w:tr>
      <w:tr w:rsidR="00A27BB1" w:rsidRPr="002B3452" w14:paraId="06FCDCFD" w14:textId="77777777" w:rsidTr="00783263">
        <w:tc>
          <w:tcPr>
            <w:tcW w:w="3214" w:type="dxa"/>
          </w:tcPr>
          <w:p w14:paraId="768F7D5C" w14:textId="77777777" w:rsidR="00A27BB1" w:rsidRPr="002B3452" w:rsidRDefault="00A27BB1" w:rsidP="00610745">
            <w:pPr>
              <w:widowControl w:val="0"/>
              <w:rPr>
                <w:snapToGrid w:val="0"/>
              </w:rPr>
            </w:pPr>
          </w:p>
        </w:tc>
        <w:tc>
          <w:tcPr>
            <w:tcW w:w="3214" w:type="dxa"/>
          </w:tcPr>
          <w:p w14:paraId="79C932D9" w14:textId="77777777" w:rsidR="00A27BB1" w:rsidRPr="002B3452" w:rsidRDefault="00A27BB1" w:rsidP="00610745">
            <w:pPr>
              <w:widowControl w:val="0"/>
              <w:rPr>
                <w:snapToGrid w:val="0"/>
              </w:rPr>
            </w:pPr>
          </w:p>
        </w:tc>
        <w:tc>
          <w:tcPr>
            <w:tcW w:w="5922" w:type="dxa"/>
          </w:tcPr>
          <w:p w14:paraId="36B0958F" w14:textId="77777777" w:rsidR="00A27BB1" w:rsidRPr="002B3452" w:rsidRDefault="00A27BB1" w:rsidP="00610745">
            <w:pPr>
              <w:widowControl w:val="0"/>
              <w:rPr>
                <w:snapToGrid w:val="0"/>
              </w:rPr>
            </w:pPr>
          </w:p>
        </w:tc>
        <w:tc>
          <w:tcPr>
            <w:tcW w:w="1926" w:type="dxa"/>
          </w:tcPr>
          <w:p w14:paraId="2F6669FD" w14:textId="77777777" w:rsidR="00A27BB1" w:rsidRPr="002B3452" w:rsidRDefault="00A27BB1" w:rsidP="00610745">
            <w:pPr>
              <w:widowControl w:val="0"/>
              <w:rPr>
                <w:snapToGrid w:val="0"/>
              </w:rPr>
            </w:pPr>
          </w:p>
        </w:tc>
      </w:tr>
    </w:tbl>
    <w:p w14:paraId="22C6DB33" w14:textId="77777777" w:rsidR="00A27BB1" w:rsidRDefault="00A27BB1" w:rsidP="000A01C3">
      <w:pPr>
        <w:spacing w:line="360" w:lineRule="auto"/>
        <w:rPr>
          <w:lang w:eastAsia="en-US"/>
        </w:rPr>
      </w:pPr>
    </w:p>
    <w:p w14:paraId="41D3ED99" w14:textId="77777777" w:rsidR="00A27BB1" w:rsidRDefault="00A27BB1" w:rsidP="00A27BB1">
      <w:pPr>
        <w:jc w:val="center"/>
      </w:pPr>
      <w:r>
        <w:t>____________</w:t>
      </w:r>
    </w:p>
    <w:p w14:paraId="0D67D219" w14:textId="77777777" w:rsidR="00E44173" w:rsidRDefault="00E44173"/>
    <w:sectPr w:rsidR="00E44173" w:rsidSect="00D449DE">
      <w:footnotePr>
        <w:numFmt w:val="chicago"/>
      </w:footnotePr>
      <w:pgSz w:w="16838" w:h="11906" w:orient="landscape"/>
      <w:pgMar w:top="709"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8B00" w14:textId="77777777" w:rsidR="00475FCF" w:rsidRDefault="00475FCF" w:rsidP="00A27BB1">
      <w:r>
        <w:separator/>
      </w:r>
    </w:p>
  </w:endnote>
  <w:endnote w:type="continuationSeparator" w:id="0">
    <w:p w14:paraId="722AD0FB" w14:textId="77777777" w:rsidR="00475FCF" w:rsidRDefault="00475FCF" w:rsidP="00A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8162" w14:textId="77777777" w:rsidR="00475FCF" w:rsidRDefault="00475FCF" w:rsidP="00A27BB1">
      <w:r>
        <w:separator/>
      </w:r>
    </w:p>
  </w:footnote>
  <w:footnote w:type="continuationSeparator" w:id="0">
    <w:p w14:paraId="6C86A133" w14:textId="77777777" w:rsidR="00475FCF" w:rsidRDefault="00475FCF" w:rsidP="00A27BB1">
      <w:r>
        <w:continuationSeparator/>
      </w:r>
    </w:p>
  </w:footnote>
  <w:footnote w:id="1">
    <w:p w14:paraId="7A4ED7A7" w14:textId="77777777" w:rsidR="00A27BB1" w:rsidRPr="0013385B" w:rsidRDefault="00A27BB1" w:rsidP="00A27BB1">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mų vykdymą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5487"/>
    <w:multiLevelType w:val="hybridMultilevel"/>
    <w:tmpl w:val="7F42A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5177768">
    <w:abstractNumId w:val="1"/>
  </w:num>
  <w:num w:numId="2" w16cid:durableId="210765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B1"/>
    <w:rsid w:val="00046CAA"/>
    <w:rsid w:val="000A01C3"/>
    <w:rsid w:val="00103FE6"/>
    <w:rsid w:val="00144087"/>
    <w:rsid w:val="0038336B"/>
    <w:rsid w:val="003A2EA4"/>
    <w:rsid w:val="00475FCF"/>
    <w:rsid w:val="004A19AA"/>
    <w:rsid w:val="0051233C"/>
    <w:rsid w:val="00580CE4"/>
    <w:rsid w:val="005B0FF2"/>
    <w:rsid w:val="006437C1"/>
    <w:rsid w:val="007714C7"/>
    <w:rsid w:val="00783263"/>
    <w:rsid w:val="00785CFD"/>
    <w:rsid w:val="007C7F83"/>
    <w:rsid w:val="008C24E1"/>
    <w:rsid w:val="00921E17"/>
    <w:rsid w:val="00932027"/>
    <w:rsid w:val="00A27BB1"/>
    <w:rsid w:val="00A428C8"/>
    <w:rsid w:val="00AC02D2"/>
    <w:rsid w:val="00AF4594"/>
    <w:rsid w:val="00B505D5"/>
    <w:rsid w:val="00B55149"/>
    <w:rsid w:val="00BC1D3B"/>
    <w:rsid w:val="00C235E8"/>
    <w:rsid w:val="00D449DE"/>
    <w:rsid w:val="00DA20E3"/>
    <w:rsid w:val="00DB1EEA"/>
    <w:rsid w:val="00E44173"/>
    <w:rsid w:val="00EA1CC6"/>
    <w:rsid w:val="00EC120E"/>
    <w:rsid w:val="00EF3F4C"/>
    <w:rsid w:val="00FB1817"/>
    <w:rsid w:val="00FD2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716"/>
  <w15:chartTrackingRefBased/>
  <w15:docId w15:val="{83248422-112C-43A6-ADA9-84334385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7BB1"/>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A27BB1"/>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A27BB1"/>
    <w:rPr>
      <w:rFonts w:ascii="Arial" w:eastAsia="Calibri" w:hAnsi="Arial" w:cs="Times New Roman"/>
      <w:kern w:val="0"/>
      <w:sz w:val="20"/>
      <w:szCs w:val="20"/>
      <w:lang w:eastAsia="lt-LT"/>
      <w14:ligatures w14:val="none"/>
    </w:rPr>
  </w:style>
  <w:style w:type="character" w:styleId="Puslapioinaosnuoroda">
    <w:name w:val="footnote reference"/>
    <w:uiPriority w:val="99"/>
    <w:rsid w:val="00A27BB1"/>
    <w:rPr>
      <w:rFonts w:cs="Times New Roman"/>
      <w:vertAlign w:val="superscript"/>
    </w:rPr>
  </w:style>
  <w:style w:type="table" w:styleId="Lentelstinklelis">
    <w:name w:val="Table Grid"/>
    <w:basedOn w:val="prastojilentel"/>
    <w:rsid w:val="00A27BB1"/>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A27BB1"/>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3638</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Motieka</dc:creator>
  <cp:keywords/>
  <dc:description/>
  <cp:lastModifiedBy>Robertas Golombevskis</cp:lastModifiedBy>
  <cp:revision>4</cp:revision>
  <dcterms:created xsi:type="dcterms:W3CDTF">2025-11-28T09:03:00Z</dcterms:created>
  <dcterms:modified xsi:type="dcterms:W3CDTF">2026-01-30T07:55:00Z</dcterms:modified>
</cp:coreProperties>
</file>