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9BBF" w14:textId="77777777" w:rsidR="00E84FC9" w:rsidRPr="008E7421" w:rsidRDefault="00E84FC9" w:rsidP="00E84FC9">
      <w:pPr>
        <w:shd w:val="clear" w:color="auto" w:fill="FFFFFF"/>
        <w:ind w:left="4956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Darbo instrukcijos AP-2-4-1-D1</w:t>
      </w:r>
    </w:p>
    <w:p w14:paraId="396C907B" w14:textId="77777777" w:rsidR="00E84FC9" w:rsidRDefault="00E84FC9" w:rsidP="00E84FC9">
      <w:pPr>
        <w:shd w:val="clear" w:color="auto" w:fill="FFFFFF"/>
        <w:ind w:left="4956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„Šalutinių gyvūninių produktų ir (ar) jų gaminių ūkio subjektų </w:t>
      </w:r>
    </w:p>
    <w:p w14:paraId="14EF8AF7" w14:textId="77777777" w:rsidR="00E84FC9" w:rsidRPr="008E7421" w:rsidRDefault="00E84FC9" w:rsidP="00E84FC9">
      <w:pPr>
        <w:shd w:val="clear" w:color="auto" w:fill="FFFFFF"/>
        <w:ind w:left="4956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vertinimas prieš pradedant veiklą“  </w:t>
      </w:r>
    </w:p>
    <w:p w14:paraId="44B2E139" w14:textId="77777777" w:rsidR="00E84FC9" w:rsidRPr="008E7421" w:rsidRDefault="00E84FC9" w:rsidP="00E84FC9">
      <w:pPr>
        <w:shd w:val="clear" w:color="auto" w:fill="FFFFFF"/>
        <w:ind w:left="4956" w:firstLine="708"/>
        <w:rPr>
          <w:rFonts w:asciiTheme="majorBidi" w:eastAsia="Arial Unicode MS" w:hAnsiTheme="majorBidi" w:cstheme="majorBidi"/>
          <w:b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5 priedas</w:t>
      </w:r>
    </w:p>
    <w:p w14:paraId="1D772A17" w14:textId="77777777" w:rsidR="00E84FC9" w:rsidRPr="00832925" w:rsidRDefault="00E84FC9" w:rsidP="00E84FC9">
      <w:pPr>
        <w:shd w:val="clear" w:color="auto" w:fill="FFFFFF"/>
        <w:jc w:val="right"/>
        <w:rPr>
          <w:rFonts w:asciiTheme="majorBidi" w:hAnsiTheme="majorBidi" w:cstheme="majorBidi"/>
          <w:lang w:val="lt-LT"/>
        </w:rPr>
      </w:pPr>
      <w:r w:rsidRPr="00832925">
        <w:rPr>
          <w:rFonts w:asciiTheme="majorBidi" w:eastAsia="Arial Unicode MS" w:hAnsiTheme="majorBidi" w:cstheme="majorBidi"/>
          <w:b/>
          <w:lang w:val="lt-LT"/>
        </w:rPr>
        <w:t xml:space="preserve">                                                                                      </w:t>
      </w:r>
    </w:p>
    <w:p w14:paraId="7F967AC9" w14:textId="77777777" w:rsidR="00E84FC9" w:rsidRPr="00832925" w:rsidRDefault="00E84FC9" w:rsidP="00E84FC9">
      <w:pPr>
        <w:tabs>
          <w:tab w:val="left" w:pos="426"/>
        </w:tabs>
        <w:suppressAutoHyphens/>
        <w:autoSpaceDN w:val="0"/>
        <w:ind w:left="10632"/>
        <w:rPr>
          <w:rFonts w:asciiTheme="majorBidi" w:hAnsiTheme="majorBidi" w:cstheme="majorBidi"/>
          <w:lang w:val="lt-LT"/>
        </w:rPr>
      </w:pPr>
    </w:p>
    <w:p w14:paraId="4AF16755" w14:textId="77777777" w:rsidR="00E84FC9" w:rsidRPr="00832925" w:rsidRDefault="00E84FC9" w:rsidP="00E84FC9">
      <w:pPr>
        <w:tabs>
          <w:tab w:val="left" w:pos="426"/>
        </w:tabs>
        <w:suppressAutoHyphens/>
        <w:autoSpaceDN w:val="0"/>
        <w:jc w:val="center"/>
        <w:rPr>
          <w:rFonts w:asciiTheme="majorBidi" w:hAnsiTheme="majorBidi" w:cstheme="majorBidi"/>
          <w:b/>
          <w:bCs/>
          <w:lang w:val="lt-LT"/>
        </w:rPr>
      </w:pPr>
      <w:bookmarkStart w:id="0" w:name="_Hlk192155211"/>
      <w:r w:rsidRPr="00832925">
        <w:rPr>
          <w:rFonts w:asciiTheme="majorBidi" w:hAnsiTheme="majorBidi" w:cstheme="majorBidi"/>
          <w:b/>
          <w:bCs/>
          <w:lang w:val="lt-LT"/>
        </w:rPr>
        <w:t>REIKALAVIMAI ŠALUTINIŲ GYVŪNINIŲ PRODUKTŲ 1 IR (AR) 2 KATEGORIJOS PERDIRBIMO ĮMONĖMS</w:t>
      </w:r>
    </w:p>
    <w:bookmarkEnd w:id="0"/>
    <w:p w14:paraId="2A15FA87" w14:textId="77777777" w:rsidR="00E84FC9" w:rsidRPr="00832925" w:rsidRDefault="00E84FC9" w:rsidP="00E84FC9">
      <w:pPr>
        <w:pStyle w:val="bodytext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lt-LT"/>
        </w:rPr>
      </w:pPr>
    </w:p>
    <w:tbl>
      <w:tblPr>
        <w:tblW w:w="11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167"/>
        <w:gridCol w:w="2143"/>
        <w:gridCol w:w="990"/>
        <w:gridCol w:w="720"/>
        <w:gridCol w:w="1350"/>
        <w:gridCol w:w="2970"/>
      </w:tblGrid>
      <w:tr w:rsidR="00E84FC9" w:rsidRPr="00832925" w14:paraId="062EA464" w14:textId="77777777" w:rsidTr="00107EDE">
        <w:trPr>
          <w:trHeight w:val="6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8CDEF" w14:textId="77777777" w:rsidR="00E84FC9" w:rsidRPr="00832925" w:rsidRDefault="00E84FC9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Eil. Nr.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108D7" w14:textId="77777777" w:rsidR="00E84FC9" w:rsidRPr="00832925" w:rsidRDefault="00E84FC9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Reikalavimas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CF0BB" w14:textId="77777777" w:rsidR="00E84FC9" w:rsidRPr="00832925" w:rsidRDefault="00E84FC9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BFA7F" w14:textId="77777777" w:rsidR="00E84FC9" w:rsidRPr="00832925" w:rsidRDefault="00E84FC9" w:rsidP="00107EDE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Atitikties įvertinimas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59555" w14:textId="77777777" w:rsidR="00E84FC9" w:rsidRPr="00832925" w:rsidRDefault="00E84FC9" w:rsidP="00107ED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pacing w:val="-2"/>
                <w:lang w:val="lt-LT" w:eastAsia="lt-LT"/>
              </w:rPr>
              <w:t>Pastabos</w:t>
            </w:r>
          </w:p>
        </w:tc>
      </w:tr>
      <w:tr w:rsidR="00E84FC9" w:rsidRPr="00832925" w14:paraId="55C7F74D" w14:textId="77777777" w:rsidTr="00107EDE">
        <w:trPr>
          <w:trHeight w:val="6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540E2" w14:textId="77777777" w:rsidR="00E84FC9" w:rsidRPr="00832925" w:rsidRDefault="00E84FC9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31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EC8D" w14:textId="77777777" w:rsidR="00E84FC9" w:rsidRPr="00832925" w:rsidRDefault="00E84FC9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BDE2" w14:textId="77777777" w:rsidR="00E84FC9" w:rsidRPr="00832925" w:rsidRDefault="00E84FC9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A46B7" w14:textId="77777777" w:rsidR="00E84FC9" w:rsidRPr="00832925" w:rsidRDefault="00E84FC9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Taip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7BC7E" w14:textId="77777777" w:rsidR="00E84FC9" w:rsidRPr="00832925" w:rsidRDefault="00E84FC9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6D15D" w14:textId="77777777" w:rsidR="00E84FC9" w:rsidRPr="00832925" w:rsidRDefault="00E84FC9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Netaikoma</w:t>
            </w:r>
            <w:r>
              <w:rPr>
                <w:rFonts w:asciiTheme="majorBidi" w:hAnsiTheme="majorBidi" w:cstheme="majorBidi"/>
                <w:b/>
                <w:bCs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/ Neaktualu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4AAC156" w14:textId="77777777" w:rsidR="00E84FC9" w:rsidRPr="00832925" w:rsidRDefault="00E84FC9" w:rsidP="00107EDE">
            <w:pPr>
              <w:tabs>
                <w:tab w:val="left" w:pos="5046"/>
              </w:tabs>
              <w:rPr>
                <w:rFonts w:asciiTheme="majorBidi" w:hAnsiTheme="majorBidi" w:cstheme="majorBidi"/>
                <w:b/>
                <w:lang w:val="lt-LT"/>
              </w:rPr>
            </w:pPr>
          </w:p>
        </w:tc>
      </w:tr>
      <w:tr w:rsidR="00E84FC9" w:rsidRPr="00E63664" w14:paraId="33E8AF78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36F0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7997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atskirti švarusis ir nešvarusis sektoriai?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EFB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  <w:hyperlink r:id="rId5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IV priedo, I skyriaus, 1 skirsnio, 1 punkto, b papunktis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36F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90B5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46384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C1A9C3D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832925" w14:paraId="1FDF8DC1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A3C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38E5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Ar patalpų paviršiai, dydis, išplanavimas leidžia užtikrinti, kad patalpas būtų lengva valyti ir dezinfekuoti?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6C68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6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A8E2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BA752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EEBC6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A37F5DB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832925" w14:paraId="16D7F4A2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B9F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09AD" w14:textId="77777777" w:rsidR="00E84FC9" w:rsidRPr="00832925" w:rsidRDefault="00E84FC9" w:rsidP="00107EDE">
            <w:pPr>
              <w:tabs>
                <w:tab w:val="left" w:pos="1680"/>
              </w:tabs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 xml:space="preserve">Ar </w:t>
            </w:r>
            <w:r>
              <w:rPr>
                <w:rFonts w:asciiTheme="majorBidi" w:hAnsiTheme="majorBidi" w:cstheme="majorBidi"/>
                <w:lang w:val="lt-LT"/>
              </w:rPr>
              <w:t>numatytos priemonės</w:t>
            </w:r>
            <w:r w:rsidRPr="00832925">
              <w:rPr>
                <w:rFonts w:asciiTheme="majorBidi" w:hAnsiTheme="majorBidi" w:cstheme="majorBidi"/>
                <w:lang w:val="lt-LT"/>
              </w:rPr>
              <w:t>, kad šalutiniai gyvūniniai produktai perdirbami kaip įmanoma greičiau?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26A9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7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25 straipsnis 3 (b)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D150220" w14:textId="77777777" w:rsidR="00E84FC9" w:rsidRPr="00832925" w:rsidRDefault="00E84FC9" w:rsidP="00107EDE">
            <w:pPr>
              <w:rPr>
                <w:rFonts w:asciiTheme="majorBidi" w:hAnsiTheme="majorBidi" w:cstheme="majorBidi"/>
                <w:iCs/>
                <w:lang w:val="lt-LT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9FF7293" w14:textId="77777777" w:rsidR="00E84FC9" w:rsidRPr="00832925" w:rsidRDefault="00E84FC9" w:rsidP="00107EDE">
            <w:pPr>
              <w:rPr>
                <w:rFonts w:asciiTheme="majorBidi" w:hAnsiTheme="majorBidi" w:cstheme="majorBidi"/>
                <w:iCs/>
                <w:lang w:val="lt-LT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7DB28ED" w14:textId="77777777" w:rsidR="00E84FC9" w:rsidRPr="00832925" w:rsidRDefault="00E84FC9" w:rsidP="00107EDE">
            <w:pPr>
              <w:rPr>
                <w:rFonts w:asciiTheme="majorBidi" w:hAnsiTheme="majorBidi" w:cstheme="majorBidi"/>
                <w:iCs/>
                <w:lang w:val="lt-LT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1DBDD66E" w14:textId="77777777" w:rsidR="00E84FC9" w:rsidRPr="000D0905" w:rsidRDefault="00E84FC9" w:rsidP="00107EDE">
            <w:pP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</w:p>
        </w:tc>
      </w:tr>
      <w:tr w:rsidR="00E84FC9" w:rsidRPr="00832925" w14:paraId="035FC71B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6F1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5F50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nuotekų, panaudoto vandens, kitų skysčių surinkimo sistemos veikia, nėra užsikimšę?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254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8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8DA6F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08699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9737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306DE7BB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1DB4C8BF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05F1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BB1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 xml:space="preserve">Ar nuotekų surinkimo mechaninio valymo </w:t>
            </w:r>
            <w:r w:rsidRPr="00832925">
              <w:rPr>
                <w:rFonts w:asciiTheme="majorBidi" w:hAnsiTheme="majorBidi" w:cstheme="majorBidi"/>
              </w:rPr>
              <w:t>įrangą sudaro nuotekų gaudyklės arba juostinės grotos su angomis arba tinklai, kurių filtrų porų arba akučių skersmuo ne didesnis kaip 6 mm</w:t>
            </w:r>
            <w:r w:rsidRPr="00832925">
              <w:rPr>
                <w:rFonts w:asciiTheme="majorBidi" w:hAnsiTheme="majorBidi" w:cstheme="majorBidi"/>
                <w:lang w:val="lt-LT"/>
              </w:rPr>
              <w:t xml:space="preserve"> arba lygiavertės sistemos?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789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9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2 skirsnio, 1 punktas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3154B4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2F547E6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6D3EE16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B61B049" w14:textId="77777777" w:rsidR="00E84FC9" w:rsidRPr="00A4098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strike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18AF5E22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1457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15FD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įrengtos priemonės transporto priemonių ratams ir kitoms dalims atitinkamai dezinfekuoti, kai jos išvažiuoja iš perdirbimo gamyklos nešvariojo sektoriaus?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5037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10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1 skirsnio, 3 punktas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D494EDC" w14:textId="77777777" w:rsidR="00E84FC9" w:rsidRPr="00832925" w:rsidRDefault="00E84FC9" w:rsidP="00107EDE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0631194" w14:textId="77777777" w:rsidR="00E84FC9" w:rsidRPr="00832925" w:rsidRDefault="00E84FC9" w:rsidP="00107EDE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3A65BCB" w14:textId="77777777" w:rsidR="00E84FC9" w:rsidRPr="00832925" w:rsidRDefault="00E84FC9" w:rsidP="00107EDE">
            <w:pPr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01C4C7E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832925" w14:paraId="04EDA59F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875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3CA2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 xml:space="preserve">Ar patalpos apsaugotos, kad į jas nepatektų kenkėjai (pvz.: vabzdžiai, </w:t>
            </w: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lastRenderedPageBreak/>
              <w:t>graužikai ar paukščiai) ir šios apsaugos priemonės yra efektyvios?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DB4E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  <w:hyperlink r:id="rId11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(c)</w:t>
            </w:r>
          </w:p>
          <w:p w14:paraId="0E8431FB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1A5E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633C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6860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CFD1A7B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2245B11B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7C6F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8697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įmonės zona, kurioje iškraunamos perdirbti atvežamos medžiagos, yra aiškiai atskirta nuo zonos, kurioje tie produktai perdirbami ir saugojami perdirbti produktai?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7A6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2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IV priedo, I skyriaus, 1 skirsnio, 1 punkto, g papunktis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AC826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D2029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B43D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8EA5EDB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74F70C99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F77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D15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įrengtos atskiros patalpos 1 ir 2 kategorijos medžiagas perdirbančiai gamyklai?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FB3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3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Style w:val="Hyperlink"/>
                <w:rFonts w:asciiTheme="majorBidi" w:eastAsiaTheme="majorEastAsia" w:hAnsiTheme="majorBidi"/>
                <w:iCs/>
                <w:sz w:val="20"/>
                <w:szCs w:val="20"/>
              </w:rPr>
              <w:t xml:space="preserve"> </w:t>
            </w:r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>IV priedo, I skyriaus, 3 skirsnis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9B4EE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F13C2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5D8B7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5EE792C9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[</w:t>
            </w:r>
            <w:r w:rsidRPr="000D0905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Netaikoma, kai 1 kategorijos ir 2 kategorijos medžiagų mišinys būtų perdirbtas į 1 kategorijos medžiagą.</w:t>
            </w: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]</w:t>
            </w:r>
          </w:p>
        </w:tc>
      </w:tr>
      <w:tr w:rsidR="00E84FC9" w:rsidRPr="00E63664" w14:paraId="7A03E184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32C8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FD64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1 arba 2 kategorijos perdirbimo gamyklos patalpos yra kitoje vietoje ar atskirame pastate nei 3 kategorijos perdirbimo gamyklos patalpos?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E441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4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IV priedo, I skyriaus, 4 skirsnio, 1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1866D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EE455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A5775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8EA27C0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150EF3B3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CF5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AAF9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perdirbimo įmonė fiziškai atskirta nuo skerdyklos ar kitos įmonės?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069A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15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1 skirsnio, 1 punkto, a dalies, i papunktis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690FAE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2F5D877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C7E2CC4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2F882562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412F850F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E5C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270" w14:textId="77777777" w:rsidR="00E84FC9" w:rsidRPr="00832925" w:rsidRDefault="00E84FC9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 xml:space="preserve">Ar išvengiama kryžminio užterštumo tvarkant 1 ar 2 kategorijos medžiagas toje vietoje, kur tvarkomos </w:t>
            </w:r>
            <w:r>
              <w:rPr>
                <w:rFonts w:asciiTheme="majorBidi" w:hAnsiTheme="majorBidi" w:cstheme="majorBidi"/>
                <w:lang w:val="lt-LT"/>
              </w:rPr>
              <w:t xml:space="preserve">3 </w:t>
            </w:r>
            <w:r w:rsidRPr="00832925">
              <w:rPr>
                <w:rFonts w:asciiTheme="majorBidi" w:hAnsiTheme="majorBidi" w:cstheme="majorBidi"/>
                <w:lang w:val="lt-LT"/>
              </w:rPr>
              <w:t>kategorijos medžiagos?</w:t>
            </w:r>
          </w:p>
          <w:p w14:paraId="016F35A3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649D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16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IV priedo, I skyriaus, 4 skirsnio, 2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5AFEE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B1B15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AE014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70324DF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[</w:t>
            </w:r>
            <w:r w:rsidRPr="000D0905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Kryžminio užterštumo išvengiama: </w:t>
            </w:r>
          </w:p>
          <w:p w14:paraId="7EAA7565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a) dėl patalpų išdėstymo, visų pirma priėmimo patalpų, ir tinkamo tolesnio žaliavų tvarkymo; </w:t>
            </w:r>
          </w:p>
          <w:p w14:paraId="6C66A397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b) dėl perdirbimui naudojamos įrangos išdėstymo ir valdymo, įskaitant atskirų perdirbimo linijų išdėstymą ir valdymą arba valymo procedūras, kuriomis išvengiama bet kokio galimo pavojaus visuomenės ir gyvūnų sveikatai plitimo; ir </w:t>
            </w:r>
          </w:p>
          <w:p w14:paraId="389EDA75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c) dėl galutinių produktų laikino saugojimo vietų išdėstymo ir valdymo</w:t>
            </w: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]</w:t>
            </w:r>
          </w:p>
        </w:tc>
      </w:tr>
      <w:tr w:rsidR="00E84FC9" w:rsidRPr="00832925" w14:paraId="62B23102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6006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9C46" w14:textId="77777777" w:rsidR="00E84FC9" w:rsidRPr="00832925" w:rsidRDefault="00E84FC9" w:rsidP="00107EDE">
            <w:pPr>
              <w:tabs>
                <w:tab w:val="left" w:pos="1680"/>
              </w:tabs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šalutiniai gyvūniniai produktai ir jų gaminiai yra apsaugoti nuo užteršimo?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7F5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17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25 straipsnis 3 (a)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BB03345" w14:textId="77777777" w:rsidR="00E84FC9" w:rsidRPr="00832925" w:rsidRDefault="00E84FC9" w:rsidP="00107EDE">
            <w:pPr>
              <w:rPr>
                <w:rFonts w:asciiTheme="majorBidi" w:hAnsiTheme="majorBidi" w:cstheme="majorBidi"/>
                <w:iCs/>
                <w:lang w:val="lt-LT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1AB9990" w14:textId="77777777" w:rsidR="00E84FC9" w:rsidRPr="00832925" w:rsidRDefault="00E84FC9" w:rsidP="00107EDE">
            <w:pPr>
              <w:rPr>
                <w:rFonts w:asciiTheme="majorBidi" w:hAnsiTheme="majorBidi" w:cstheme="majorBidi"/>
                <w:iCs/>
                <w:lang w:val="lt-LT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F2EE554" w14:textId="77777777" w:rsidR="00E84FC9" w:rsidRPr="00832925" w:rsidRDefault="00E84FC9" w:rsidP="00107EDE">
            <w:pPr>
              <w:rPr>
                <w:rFonts w:asciiTheme="majorBidi" w:hAnsiTheme="majorBidi" w:cstheme="majorBidi"/>
                <w:iCs/>
                <w:lang w:val="lt-LT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5520B44F" w14:textId="77777777" w:rsidR="00E84FC9" w:rsidRPr="000D0905" w:rsidRDefault="00E84FC9" w:rsidP="00107EDE">
            <w:pPr>
              <w:rPr>
                <w:rFonts w:asciiTheme="majorBidi" w:hAnsiTheme="majorBidi" w:cstheme="majorBidi"/>
                <w:iCs/>
                <w:color w:val="77206D" w:themeColor="accent5" w:themeShade="BF"/>
                <w:lang w:val="lt-LT"/>
              </w:rPr>
            </w:pPr>
          </w:p>
        </w:tc>
      </w:tr>
      <w:tr w:rsidR="00E84FC9" w:rsidRPr="00E63664" w14:paraId="280AB267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2A9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DAE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nepatenka pašaliniai asmenys ir neleistini gyvūnai?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F59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18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1 skirsnio, 1 </w:t>
            </w:r>
            <w:r w:rsidRPr="00832925">
              <w:rPr>
                <w:rFonts w:asciiTheme="majorBidi" w:hAnsiTheme="majorBidi" w:cstheme="majorBidi"/>
                <w:iCs/>
                <w:lang w:val="lt-LT"/>
              </w:rPr>
              <w:lastRenderedPageBreak/>
              <w:t>punkto, a dalies, iv papunktis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76FA4994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AE5B836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9D8DCC9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6F9AFDE2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63DB7AE2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117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379F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yra šalutinių gyvūninių produktų apdorojimui reikalingas karštas vanduo ir garų gamybos sistemos?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A78D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19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1 skirsnio, 1 punkto, d papunktis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EC6AF6D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744D552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6B873C4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D3E2342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1779CF61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D1F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31D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shd w:val="clear" w:color="auto" w:fill="FFFFFF"/>
                <w:lang w:val="lt-LT"/>
              </w:rPr>
              <w:t>Ar perdirbimo įmonės n</w:t>
            </w:r>
            <w:r w:rsidRPr="00832925">
              <w:rPr>
                <w:rFonts w:asciiTheme="majorBidi" w:hAnsiTheme="majorBidi" w:cstheme="majorBidi"/>
                <w:lang w:val="lt-LT"/>
              </w:rPr>
              <w:t>ešvariajame sektoriuje jei reikia yra šalutinių gyvūninių produktų smulkinimo įranga ir sutrintų produktų sudėjimo į perdirbimo agregatą įranga?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2C41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20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1 skirsnio, 1 punkto, e papunktis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608A8F5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54695B2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FE9AD92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2B4A70F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832925" w14:paraId="653C38F7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897D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b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64AA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 xml:space="preserve">Ar darbuotojai aprūpinti tinkamais darbui ir, </w:t>
            </w:r>
            <w:r w:rsidRPr="00832925">
              <w:rPr>
                <w:rFonts w:asciiTheme="majorBidi" w:hAnsiTheme="majorBidi" w:cstheme="majorBidi"/>
                <w:lang w:val="lt-LT"/>
              </w:rPr>
              <w:t>kai būtina, apsauginiais</w:t>
            </w: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 xml:space="preserve"> drabužiais?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F3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21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25 straipsnis 2</w:t>
            </w:r>
          </w:p>
          <w:p w14:paraId="3F4027ED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B488B0A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0AAD3D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9A4D640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03BC2DF8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832925" w14:paraId="1952FFC7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C92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6C03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Ar yra įrengta geros būklės ir švari darbuotojų persirengimo patalpa (vieta) ir darbuotojų tualetas?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2F1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  <w:hyperlink r:id="rId22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1 (b)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FCC85B4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4320F2E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F7D017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9AD52EC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832925" w14:paraId="74F83EB9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92E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2EB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Ar numatytos priemonės</w:t>
            </w:r>
            <w:r>
              <w:rPr>
                <w:rFonts w:asciiTheme="majorBidi" w:hAnsiTheme="majorBidi" w:cstheme="majorBidi"/>
                <w:color w:val="000000"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color w:val="000000"/>
                <w:lang w:val="lt-LT"/>
              </w:rPr>
              <w:t>užtikrinančios, kad nešvariajame sektoriuje dirbantys asmenys nepatektų į švarųjį sektorių nepasikeitę savo darbo drabužių ir avalynės arba jų neišdezinfekavę?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969C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23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2 (a)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7868BDA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FB01857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01A29BE6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5643754F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3D385555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181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D45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visuose perdirbimo įmonės naudojamuose įrengimuose, kur reikia apdoroti termiškai, yra matavimo įranga temperatūros kaitai bėgant laikui ir, jei reikia, pagal taikomą perdirbimo metodą, slėgiui matuoti?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032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24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1 skirsnio, 1 punkto, f dalies, i papunktis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69C9017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F509AFF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256FDE7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3E577BE2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832925" w14:paraId="20E0E781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B9D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8CA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nustatytas  gamybos parametrų (temperatūra, slėgis, trukmė, dalelių dydis) tikrinimo dažnumas ir stebėsenos registracija?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6A8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hyperlink r:id="rId25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25 straipsnis 3 (d)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9CBD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AD31B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817D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7171413E" w14:textId="77777777" w:rsidR="00E84FC9" w:rsidRPr="000D090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trike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43021C30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FCA1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923D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užtikrinama, kad visų matavimo prietaisų duomenys būtų nepertraukiamai registruojami, įmonė gali pateikti šių matavimo rezultatų registravimo įrašus?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21C6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26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1 skirsnio, 1 punkto, f dalies, ii papunktis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5908D4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587FF22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D53933E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4A448DD6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39DAF135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4849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31B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įrengta  saugos sistema, garantuojanti pakankamą kaitinimą?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43CE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27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lang w:val="lt-LT"/>
              </w:rPr>
              <w:t xml:space="preserve"> IV priedo, I skyriaus, 1 skirsnio, 1 </w:t>
            </w:r>
            <w:r w:rsidRPr="00832925">
              <w:rPr>
                <w:rFonts w:asciiTheme="majorBidi" w:hAnsiTheme="majorBidi" w:cstheme="majorBidi"/>
                <w:iCs/>
                <w:lang w:val="lt-LT"/>
              </w:rPr>
              <w:lastRenderedPageBreak/>
              <w:t>punkto, f dalies, iii papunktis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08DE604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EBDF96C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916B080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14:paraId="567DF989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E63664" w14:paraId="0458C3EC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626F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108B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perdirbimo sąlygoms nuolat stebėti naudojami sukalibruoti manometrai ir numatyta duomenų registracija?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84A1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28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IV priedo, II skyriaus, 2 skirsnio, 1 punktas</w:t>
            </w:r>
          </w:p>
          <w:p w14:paraId="5AE0F00D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5FB38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33451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B7E9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E1DC4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</w:p>
        </w:tc>
      </w:tr>
      <w:tr w:rsidR="00E84FC9" w:rsidRPr="00832925" w14:paraId="0A4327DF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570" w14:textId="77777777" w:rsidR="00E84FC9" w:rsidRPr="008E7421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D614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numatytas</w:t>
            </w:r>
            <w:r>
              <w:rPr>
                <w:rFonts w:asciiTheme="majorBidi" w:hAnsiTheme="majorBidi" w:cstheme="majorBidi"/>
                <w:lang w:val="lt-LT"/>
              </w:rPr>
              <w:t xml:space="preserve"> 1</w:t>
            </w:r>
            <w:r w:rsidRPr="00832925">
              <w:rPr>
                <w:rFonts w:asciiTheme="majorBidi" w:hAnsiTheme="majorBidi" w:cstheme="majorBidi"/>
                <w:lang w:val="lt-LT"/>
              </w:rPr>
              <w:t xml:space="preserve"> ar 2 kategorijos medžiagų, šalutinių gyvūninių produktų gaminių žymėjimas nuolatine </w:t>
            </w:r>
            <w:proofErr w:type="spellStart"/>
            <w:r w:rsidRPr="00832925">
              <w:rPr>
                <w:rFonts w:asciiTheme="majorBidi" w:hAnsiTheme="majorBidi" w:cstheme="majorBidi"/>
                <w:lang w:val="lt-LT"/>
              </w:rPr>
              <w:t>gliceroltriheptanoato</w:t>
            </w:r>
            <w:proofErr w:type="spellEnd"/>
            <w:r w:rsidRPr="00832925">
              <w:rPr>
                <w:rFonts w:asciiTheme="majorBidi" w:hAnsiTheme="majorBidi" w:cstheme="majorBidi"/>
                <w:lang w:val="lt-LT"/>
              </w:rPr>
              <w:t xml:space="preserve"> (GTH) žyma?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6F51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29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VIII priedo, V skyriaus, 1 punktas</w:t>
            </w:r>
          </w:p>
          <w:p w14:paraId="4BF65D27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color w:val="000000"/>
                <w:lang w:val="lt-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07C22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6EB76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3CFCE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7E5AE" w14:textId="77777777" w:rsidR="00E84FC9" w:rsidRPr="000D0905" w:rsidRDefault="00E84FC9" w:rsidP="00107EDE">
            <w:pP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</w:p>
        </w:tc>
      </w:tr>
      <w:tr w:rsidR="00E84FC9" w:rsidRPr="00832925" w14:paraId="1D845B74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974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EDC3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parengta parametrų, kad reikiama minimali homogeninė GTH koncentracija yra pasiekta, stebėsenos ir registracijos sistema?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46C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30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[2]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VIII priedo, V skyriaus, 2 punktas</w:t>
            </w:r>
          </w:p>
          <w:p w14:paraId="66A547A6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color w:val="000000"/>
                <w:lang w:val="lt-LT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FC8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DBC0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2465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3A1F" w14:textId="77777777" w:rsidR="00E84FC9" w:rsidRPr="000D0905" w:rsidRDefault="00E84FC9" w:rsidP="00107EDE">
            <w:pP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</w:p>
        </w:tc>
      </w:tr>
      <w:tr w:rsidR="00E84FC9" w:rsidRPr="00E63664" w14:paraId="1060C581" w14:textId="77777777" w:rsidTr="00107ED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0B6" w14:textId="77777777" w:rsidR="00E84FC9" w:rsidRPr="00832925" w:rsidRDefault="00E84FC9" w:rsidP="00E84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0260"/>
              </w:tabs>
              <w:adjustRightInd w:val="0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E13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naudojami alternatyvių perdirbimo metodų perdirbimo standartai?</w:t>
            </w:r>
          </w:p>
          <w:p w14:paraId="13D74C31" w14:textId="77777777" w:rsidR="00E84FC9" w:rsidRPr="00832925" w:rsidRDefault="00E84FC9" w:rsidP="00107EDE">
            <w:pPr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CBF" w14:textId="77777777" w:rsidR="00E84FC9" w:rsidRPr="00832925" w:rsidRDefault="00E84FC9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hyperlink r:id="rId31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lang w:val="lt-LT"/>
                </w:rPr>
                <w:t>[2]</w:t>
              </w:r>
            </w:hyperlink>
            <w:r w:rsidRPr="00832925">
              <w:rPr>
                <w:rStyle w:val="Hyperlink"/>
                <w:rFonts w:asciiTheme="majorBidi" w:eastAsiaTheme="majorEastAsia" w:hAnsiTheme="majorBidi"/>
                <w:iCs/>
                <w:lang w:val="lt-LT"/>
              </w:rPr>
              <w:t xml:space="preserve"> </w:t>
            </w:r>
            <w:r w:rsidRPr="00832925">
              <w:rPr>
                <w:rFonts w:asciiTheme="majorBidi" w:hAnsiTheme="majorBidi" w:cstheme="majorBidi"/>
                <w:iCs/>
                <w:lang w:val="lt-LT"/>
              </w:rPr>
              <w:t>I priedo, 9 straipsnio, c punktas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F707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80A3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D6C9" w14:textId="77777777" w:rsidR="00E84FC9" w:rsidRPr="00832925" w:rsidRDefault="00E84FC9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DA9A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[</w:t>
            </w: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Alternatyvūs perdirbimo metodai:</w:t>
            </w:r>
          </w:p>
          <w:p w14:paraId="576409E7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A. Šarminės hidrolizės procesas;</w:t>
            </w:r>
          </w:p>
          <w:p w14:paraId="33DCD975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B. Aukšto slėgio ir aukštos temperatūros hidrolizės procesas; </w:t>
            </w:r>
          </w:p>
          <w:p w14:paraId="3A8F1E9E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C. Biodujų aukšto slėgio hidrolizės procesas; </w:t>
            </w:r>
          </w:p>
          <w:p w14:paraId="1F966752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D. Biodyzelino gamybos procesas; </w:t>
            </w:r>
          </w:p>
          <w:p w14:paraId="6806790C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E. </w:t>
            </w:r>
            <w:proofErr w:type="spellStart"/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Brookes</w:t>
            </w:r>
            <w:proofErr w:type="spellEnd"/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 dujinimo procesas; </w:t>
            </w:r>
          </w:p>
          <w:p w14:paraId="5B5EAD68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F. Gyvūninių riebalų deginimo terminiame boileryje procesas; </w:t>
            </w:r>
          </w:p>
          <w:p w14:paraId="5A2F45C6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G. </w:t>
            </w:r>
            <w:proofErr w:type="spellStart"/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Termomechaninis</w:t>
            </w:r>
            <w:proofErr w:type="spellEnd"/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 biodegalų gamybos procesas; </w:t>
            </w:r>
          </w:p>
          <w:p w14:paraId="62949259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I. Kiaulių ir naminių paukščių mėšlo apdorojimas kalkėmis; </w:t>
            </w:r>
          </w:p>
          <w:p w14:paraId="78BF3CDE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J. Daugiapakopis </w:t>
            </w:r>
            <w:proofErr w:type="spellStart"/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katalitinis</w:t>
            </w:r>
            <w:proofErr w:type="spellEnd"/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 procesas atsinaujinantiems degalams gaminti;</w:t>
            </w:r>
          </w:p>
          <w:p w14:paraId="5B8EF700" w14:textId="77777777" w:rsidR="00E84FC9" w:rsidRPr="000D0905" w:rsidRDefault="00E84FC9" w:rsidP="00107EDE">
            <w:pPr>
              <w:autoSpaceDE w:val="0"/>
              <w:autoSpaceDN w:val="0"/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K. Žuvų žaliavų silosavimas; </w:t>
            </w:r>
          </w:p>
          <w:p w14:paraId="16A699A3" w14:textId="77777777" w:rsidR="00E84FC9" w:rsidRPr="000D0905" w:rsidRDefault="00E84FC9" w:rsidP="00107EDE">
            <w:pPr>
              <w:pStyle w:val="title-gr-seq-level-2"/>
              <w:spacing w:before="0" w:beforeAutospacing="0" w:after="0" w:afterAutospacing="0"/>
              <w:jc w:val="both"/>
              <w:rPr>
                <w:rStyle w:val="boldface"/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  <w:r w:rsidRPr="000D0905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L. Daugiapakopis </w:t>
            </w:r>
            <w:proofErr w:type="spellStart"/>
            <w:r w:rsidRPr="000D0905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katalitinis</w:t>
            </w:r>
            <w:proofErr w:type="spellEnd"/>
            <w:r w:rsidRPr="000D0905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 apdorojimas vandeniu degalams iš atsinaujinančiųjų išteklių gaminti.</w:t>
            </w:r>
            <w:r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]</w:t>
            </w:r>
          </w:p>
        </w:tc>
      </w:tr>
    </w:tbl>
    <w:p w14:paraId="6B859DAF" w14:textId="77777777" w:rsidR="00E84FC9" w:rsidRPr="00832925" w:rsidRDefault="00E84FC9" w:rsidP="00E84FC9">
      <w:pPr>
        <w:pStyle w:val="bodytext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lt-LT"/>
        </w:rPr>
      </w:pPr>
    </w:p>
    <w:p w14:paraId="7FFF28C6" w14:textId="77777777" w:rsidR="00E84FC9" w:rsidRPr="008E7421" w:rsidRDefault="00E84FC9" w:rsidP="00E84FC9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Teisės aktų, pagal kuriuos atliekamas reikalavimo atitikties įvertinimas, sąrašas:</w:t>
      </w:r>
    </w:p>
    <w:p w14:paraId="7ACC2AD6" w14:textId="77777777" w:rsidR="00E84FC9" w:rsidRPr="008E7421" w:rsidRDefault="00E84FC9" w:rsidP="00E84FC9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05945E23" w14:textId="77777777" w:rsidR="00E84FC9" w:rsidRDefault="00E84FC9" w:rsidP="00E84FC9">
      <w:pPr>
        <w:pStyle w:val="ListParagraph"/>
        <w:widowControl w:val="0"/>
        <w:numPr>
          <w:ilvl w:val="0"/>
          <w:numId w:val="2"/>
        </w:numPr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2009 m. spalio 21 d. Europos Parlamento ir Tarybos reglamentas (EB) Nr. 1069/2009, kuriuo nustatomos žmonėms vartoti</w:t>
      </w:r>
    </w:p>
    <w:p w14:paraId="27EC2B13" w14:textId="77777777" w:rsidR="00E84FC9" w:rsidRPr="008E7421" w:rsidRDefault="00E84FC9" w:rsidP="00E84FC9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 neskirtų šalutinių gyvūninių produktų ir jų gaminių sveikumo taisyklės ir panaikinamas reglamentas (EB) Nr. 1774/2002.</w:t>
      </w:r>
    </w:p>
    <w:p w14:paraId="2A3D40E2" w14:textId="77777777" w:rsidR="00E84FC9" w:rsidRPr="008E7421" w:rsidRDefault="00E84FC9" w:rsidP="00E84FC9">
      <w:pPr>
        <w:pStyle w:val="ListParagraph"/>
        <w:rPr>
          <w:rFonts w:asciiTheme="majorBidi" w:hAnsiTheme="majorBidi" w:cstheme="majorBidi"/>
          <w:sz w:val="24"/>
          <w:szCs w:val="24"/>
          <w:lang w:val="lt-LT"/>
        </w:rPr>
      </w:pPr>
      <w:hyperlink r:id="rId32" w:history="1">
        <w:r w:rsidRPr="008E7421">
          <w:rPr>
            <w:rStyle w:val="Hyperlink"/>
            <w:rFonts w:asciiTheme="majorBidi" w:eastAsiaTheme="majorEastAsia" w:hAnsiTheme="majorBidi"/>
            <w:sz w:val="24"/>
            <w:szCs w:val="24"/>
            <w:lang w:val="lt-LT"/>
          </w:rPr>
          <w:t>https://eur-lex.europa.eu/legal-content/EN/TXT/?uri=CELEX%3A02009R1069-20191214&amp;qid=1693298318661</w:t>
        </w:r>
      </w:hyperlink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p w14:paraId="0AEEF4CC" w14:textId="77777777" w:rsidR="00E84FC9" w:rsidRDefault="00E84FC9" w:rsidP="00E84FC9">
      <w:pPr>
        <w:pStyle w:val="ListParagraph"/>
        <w:widowControl w:val="0"/>
        <w:numPr>
          <w:ilvl w:val="0"/>
          <w:numId w:val="2"/>
        </w:numPr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2011 m. vasario 25 d. Komisijos reglamento (ES) Nr. 142/2011, kuriuo įgyvendinami Europos Parlamento ir Tarybos</w:t>
      </w:r>
    </w:p>
    <w:p w14:paraId="0C31EFA8" w14:textId="77777777" w:rsidR="00E84FC9" w:rsidRDefault="00E84FC9" w:rsidP="00E84FC9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 reglamentas (EB) Nr. 1069/2009, kuriuo nustatomos žmonėms vartoti neskirtų šalutinių gyvūninių produktų ir jų </w:t>
      </w:r>
    </w:p>
    <w:p w14:paraId="72C3C6B0" w14:textId="77777777" w:rsidR="00E84FC9" w:rsidRDefault="00E84FC9" w:rsidP="00E84FC9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gaminių sveikumo taisyklės, ir Tarybos direktyva 97/78/EB dėl tam tikrų mėginių ir priemonių, kuriems netaikomi </w:t>
      </w:r>
    </w:p>
    <w:p w14:paraId="5BAA32CA" w14:textId="77777777" w:rsidR="00E84FC9" w:rsidRPr="008E7421" w:rsidRDefault="00E84FC9" w:rsidP="00E84FC9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veterinariniai tikrinimai pasienyje pagal tą direktyvą.</w:t>
      </w:r>
    </w:p>
    <w:p w14:paraId="1921627D" w14:textId="2B6B5C1B" w:rsidR="008C79E6" w:rsidRDefault="00E84FC9" w:rsidP="00E84FC9">
      <w:hyperlink r:id="rId33" w:history="1">
        <w:r w:rsidRPr="008E7421">
          <w:rPr>
            <w:rStyle w:val="Hyperlink"/>
            <w:rFonts w:asciiTheme="majorBidi" w:eastAsiaTheme="majorEastAsia" w:hAnsiTheme="majorBidi"/>
            <w:sz w:val="24"/>
            <w:szCs w:val="24"/>
            <w:lang w:val="lt-LT"/>
          </w:rPr>
          <w:t>https://eur-lex.europa.eu/legal-content/EN/TXT/?uri=CELEX%3A02011R0142-20220417&amp;qid=1695124207395</w:t>
        </w:r>
      </w:hyperlink>
    </w:p>
    <w:sectPr w:rsidR="008C79E6" w:rsidSect="00E84FC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5592"/>
    <w:multiLevelType w:val="multilevel"/>
    <w:tmpl w:val="2CFE5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059C1"/>
    <w:multiLevelType w:val="multilevel"/>
    <w:tmpl w:val="715059C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814490188">
    <w:abstractNumId w:val="1"/>
  </w:num>
  <w:num w:numId="2" w16cid:durableId="17460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C9"/>
    <w:rsid w:val="003B706E"/>
    <w:rsid w:val="00777BB8"/>
    <w:rsid w:val="008C79E6"/>
    <w:rsid w:val="00E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7A64"/>
  <w15:chartTrackingRefBased/>
  <w15:docId w15:val="{205FC9A5-2FB5-49FF-A2E0-0B6802D4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C9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F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F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F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F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F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F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F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F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F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F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F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F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F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F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F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F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qFormat/>
    <w:rsid w:val="00E84FC9"/>
    <w:rPr>
      <w:color w:val="0000FF"/>
      <w:u w:val="single"/>
    </w:rPr>
  </w:style>
  <w:style w:type="paragraph" w:customStyle="1" w:styleId="bodytext">
    <w:name w:val="bodytext"/>
    <w:basedOn w:val="Normal"/>
    <w:qFormat/>
    <w:rsid w:val="00E84FC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fault">
    <w:name w:val="Default"/>
    <w:qFormat/>
    <w:rsid w:val="00E84FC9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kern w:val="0"/>
      <w:sz w:val="24"/>
      <w:szCs w:val="24"/>
      <w:lang w:eastAsia="lt-LT"/>
      <w14:ligatures w14:val="none"/>
    </w:rPr>
  </w:style>
  <w:style w:type="character" w:customStyle="1" w:styleId="boldface">
    <w:name w:val="boldface"/>
    <w:qFormat/>
    <w:rsid w:val="00E84FC9"/>
  </w:style>
  <w:style w:type="paragraph" w:customStyle="1" w:styleId="title-gr-seq-level-2">
    <w:name w:val="title-gr-seq-level-2"/>
    <w:basedOn w:val="Normal"/>
    <w:qFormat/>
    <w:rsid w:val="00E84FC9"/>
    <w:pPr>
      <w:spacing w:before="100" w:beforeAutospacing="1" w:after="100" w:afterAutospacing="1"/>
    </w:pPr>
    <w:rPr>
      <w:rFonts w:ascii="Times New Roman" w:eastAsia="Aptos" w:hAnsi="Times New Roman" w:cs="Aptos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09R1069-20191214&amp;qid=1693298318661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18" Type="http://schemas.openxmlformats.org/officeDocument/2006/relationships/hyperlink" Target="https://eur-lex.europa.eu/legal-content/EN/TXT/?uri=CELEX%3A02011R0142-20220417&amp;qid=1695124207395" TargetMode="External"/><Relationship Id="rId26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N/TXT/?uri=CELEX%3A02009R1069-20191214&amp;qid=169329831866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ur-lex.europa.eu/legal-content/EN/TXT/?uri=CELEX%3A02009R1069-20191214&amp;qid=1693298318661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17" Type="http://schemas.openxmlformats.org/officeDocument/2006/relationships/hyperlink" Target="https://eur-lex.europa.eu/legal-content/EN/TXT/?uri=CELEX%3A02009R1069-20191214&amp;qid=1693298318661" TargetMode="External"/><Relationship Id="rId25" Type="http://schemas.openxmlformats.org/officeDocument/2006/relationships/hyperlink" Target="https://eur-lex.europa.eu/legal-content/EN/TXT/?uri=CELEX%3A02009R1069-20191214&amp;qid=1693298318661" TargetMode="External"/><Relationship Id="rId33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02011R0142-20220417&amp;qid=1695124207395" TargetMode="External"/><Relationship Id="rId20" Type="http://schemas.openxmlformats.org/officeDocument/2006/relationships/hyperlink" Target="https://eur-lex.europa.eu/legal-content/EN/TXT/?uri=CELEX%3A02011R0142-20220417&amp;qid=1695124207395" TargetMode="External"/><Relationship Id="rId29" Type="http://schemas.openxmlformats.org/officeDocument/2006/relationships/hyperlink" Target="https://eur-lex.europa.eu/legal-content/EN/TXT/?uri=CELEX%3A02011R0142-20220417&amp;qid=16951242073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09R1069-20191214&amp;qid=1693298318661" TargetMode="External"/><Relationship Id="rId11" Type="http://schemas.openxmlformats.org/officeDocument/2006/relationships/hyperlink" Target="https://eur-lex.europa.eu/legal-content/EN/TXT/?uri=CELEX%3A02009R1069-20191214&amp;qid=1693298318661" TargetMode="External"/><Relationship Id="rId24" Type="http://schemas.openxmlformats.org/officeDocument/2006/relationships/hyperlink" Target="https://eur-lex.europa.eu/legal-content/EN/TXT/?uri=CELEX%3A02011R0142-20220417&amp;qid=1695124207395" TargetMode="External"/><Relationship Id="rId32" Type="http://schemas.openxmlformats.org/officeDocument/2006/relationships/hyperlink" Target="https://eur-lex.europa.eu/legal-content/EN/TXT/?uri=CELEX%3A02009R1069-20191214&amp;qid=1693298318661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hyperlink" Target="https://eur-lex.europa.eu/legal-content/EN/TXT/?uri=CELEX%3A02011R0142-20220417&amp;qid=1695124207395" TargetMode="External"/><Relationship Id="rId23" Type="http://schemas.openxmlformats.org/officeDocument/2006/relationships/hyperlink" Target="https://eur-lex.europa.eu/legal-content/EN/TXT/?uri=CELEX%3A02009R1069-20191214&amp;qid=1693298318661" TargetMode="External"/><Relationship Id="rId28" Type="http://schemas.openxmlformats.org/officeDocument/2006/relationships/hyperlink" Target="https://eur-lex.europa.eu/legal-content/EN/TXT/?uri=CELEX%3A02011R0142-20220417&amp;qid=1695124207395" TargetMode="External"/><Relationship Id="rId10" Type="http://schemas.openxmlformats.org/officeDocument/2006/relationships/hyperlink" Target="https://eur-lex.europa.eu/legal-content/EN/TXT/?uri=CELEX%3A02011R0142-20220417&amp;qid=1695124207395" TargetMode="External"/><Relationship Id="rId19" Type="http://schemas.openxmlformats.org/officeDocument/2006/relationships/hyperlink" Target="https://eur-lex.europa.eu/legal-content/EN/TXT/?uri=CELEX%3A02011R0142-20220417&amp;qid=1695124207395" TargetMode="External"/><Relationship Id="rId31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Relationship Id="rId22" Type="http://schemas.openxmlformats.org/officeDocument/2006/relationships/hyperlink" Target="https://eur-lex.europa.eu/legal-content/EN/TXT/?uri=CELEX%3A02009R1069-20191214&amp;qid=1693298318661" TargetMode="External"/><Relationship Id="rId27" Type="http://schemas.openxmlformats.org/officeDocument/2006/relationships/hyperlink" Target="https://eur-lex.europa.eu/legal-content/EN/TXT/?uri=CELEX%3A02011R0142-20220417&amp;qid=1695124207395" TargetMode="External"/><Relationship Id="rId30" Type="http://schemas.openxmlformats.org/officeDocument/2006/relationships/hyperlink" Target="https://eur-lex.europa.eu/legal-content/EN/TXT/?uri=CELEX%3A02011R0142-20220417&amp;qid=169512420739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6587</Words>
  <Characters>3756</Characters>
  <Application>Microsoft Office Word</Application>
  <DocSecurity>0</DocSecurity>
  <Lines>31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2026-04-07T13:17:00Z</dcterms:created>
  <dcterms:modified xsi:type="dcterms:W3CDTF">2026-04-07T13:18:00Z</dcterms:modified>
</cp:coreProperties>
</file>