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88D4" w14:textId="77777777" w:rsidR="000C55AD" w:rsidRPr="008E7421" w:rsidRDefault="000C55AD" w:rsidP="000C55AD">
      <w:pPr>
        <w:shd w:val="clear" w:color="auto" w:fill="FFFFFF"/>
        <w:ind w:left="5664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Darbo instrukcijos AP-2-4-1-D1</w:t>
      </w:r>
    </w:p>
    <w:p w14:paraId="11272466" w14:textId="77777777" w:rsidR="000C55AD" w:rsidRDefault="000C55AD" w:rsidP="000C55AD">
      <w:pPr>
        <w:shd w:val="clear" w:color="auto" w:fill="FFFFFF"/>
        <w:ind w:left="5664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„Šalutinių gyvūninių produktų ir (ar) jų gaminių ūkio</w:t>
      </w:r>
    </w:p>
    <w:p w14:paraId="25AC1660" w14:textId="77777777" w:rsidR="000C55AD" w:rsidRPr="008E7421" w:rsidRDefault="000C55AD" w:rsidP="000C55AD">
      <w:pPr>
        <w:shd w:val="clear" w:color="auto" w:fill="FFFFFF"/>
        <w:ind w:left="5664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subjektų vertinimas prieš pradedant veiklą“ </w:t>
      </w:r>
    </w:p>
    <w:p w14:paraId="55E338FD" w14:textId="77777777" w:rsidR="000C55AD" w:rsidRPr="008E7421" w:rsidRDefault="000C55AD" w:rsidP="000C55AD">
      <w:pPr>
        <w:shd w:val="clear" w:color="auto" w:fill="FFFFFF"/>
        <w:ind w:left="5664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9 priedas</w:t>
      </w:r>
    </w:p>
    <w:p w14:paraId="090E3321" w14:textId="77777777" w:rsidR="000C55AD" w:rsidRPr="00832925" w:rsidRDefault="000C55AD" w:rsidP="000C55AD">
      <w:pPr>
        <w:tabs>
          <w:tab w:val="left" w:pos="426"/>
        </w:tabs>
        <w:suppressAutoHyphens/>
        <w:autoSpaceDN w:val="0"/>
        <w:ind w:left="10632"/>
        <w:rPr>
          <w:rFonts w:asciiTheme="majorBidi" w:hAnsiTheme="majorBidi" w:cstheme="majorBidi"/>
          <w:lang w:val="lt-LT"/>
        </w:rPr>
      </w:pPr>
    </w:p>
    <w:p w14:paraId="00CC3E14" w14:textId="77777777" w:rsidR="000C55AD" w:rsidRDefault="000C55AD" w:rsidP="000C55AD">
      <w:pPr>
        <w:tabs>
          <w:tab w:val="left" w:pos="426"/>
        </w:tabs>
        <w:suppressAutoHyphens/>
        <w:autoSpaceDN w:val="0"/>
        <w:jc w:val="center"/>
        <w:rPr>
          <w:rFonts w:asciiTheme="majorBidi" w:hAnsiTheme="majorBidi" w:cstheme="majorBidi"/>
          <w:b/>
          <w:bCs/>
          <w:lang w:val="lt-LT"/>
        </w:rPr>
      </w:pPr>
    </w:p>
    <w:p w14:paraId="36762483" w14:textId="77777777" w:rsidR="000C55AD" w:rsidRPr="00832925" w:rsidRDefault="000C55AD" w:rsidP="000C55AD">
      <w:pPr>
        <w:tabs>
          <w:tab w:val="left" w:pos="426"/>
        </w:tabs>
        <w:suppressAutoHyphens/>
        <w:autoSpaceDN w:val="0"/>
        <w:jc w:val="center"/>
        <w:rPr>
          <w:rFonts w:asciiTheme="majorBidi" w:hAnsiTheme="majorBidi" w:cstheme="majorBidi"/>
          <w:b/>
          <w:bCs/>
          <w:lang w:val="lt-LT"/>
        </w:rPr>
      </w:pPr>
      <w:r w:rsidRPr="00832925">
        <w:rPr>
          <w:rFonts w:asciiTheme="majorBidi" w:hAnsiTheme="majorBidi" w:cstheme="majorBidi"/>
          <w:b/>
          <w:bCs/>
          <w:lang w:val="lt-LT"/>
        </w:rPr>
        <w:t xml:space="preserve">REKALAVIMAI ORGANINIŲ TRĄŠŲ IR DIRVOŽEMĮ GERINANČIŲ MEDŽIAGŲ GAMYBOS </w:t>
      </w:r>
      <w:r w:rsidRPr="008E7421">
        <w:rPr>
          <w:rFonts w:asciiTheme="majorBidi" w:eastAsia="SimSun" w:hAnsiTheme="majorBidi" w:cstheme="majorBidi"/>
          <w:b/>
          <w:bCs/>
          <w:color w:val="000000"/>
          <w:lang w:val="lt-LT"/>
        </w:rPr>
        <w:t>ĮMONĖMS</w:t>
      </w:r>
    </w:p>
    <w:p w14:paraId="6D63859D" w14:textId="77777777" w:rsidR="000C55AD" w:rsidRPr="00A70B9D" w:rsidRDefault="000C55AD" w:rsidP="000C55AD">
      <w:pPr>
        <w:pStyle w:val="bodytext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lt-LT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077"/>
        <w:gridCol w:w="2773"/>
        <w:gridCol w:w="900"/>
        <w:gridCol w:w="811"/>
        <w:gridCol w:w="1278"/>
        <w:gridCol w:w="2231"/>
      </w:tblGrid>
      <w:tr w:rsidR="000C55AD" w:rsidRPr="00832925" w14:paraId="1147E639" w14:textId="77777777" w:rsidTr="00107EDE">
        <w:trPr>
          <w:trHeight w:val="7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9BD0A" w14:textId="77777777" w:rsidR="000C55AD" w:rsidRPr="00832925" w:rsidRDefault="000C55AD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lang w:val="lt-LT"/>
              </w:rPr>
              <w:t>Eil. Nr.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5FCC6" w14:textId="77777777" w:rsidR="000C55AD" w:rsidRPr="00832925" w:rsidRDefault="000C55AD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lang w:val="lt-LT"/>
              </w:rPr>
              <w:t>Reikalavimas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F3775" w14:textId="77777777" w:rsidR="000C55AD" w:rsidRPr="00832925" w:rsidRDefault="000C55AD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F6357" w14:textId="77777777" w:rsidR="000C55AD" w:rsidRPr="00832925" w:rsidRDefault="000C55AD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Atitikties įvertinimas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2C04C" w14:textId="77777777" w:rsidR="000C55AD" w:rsidRPr="00832925" w:rsidRDefault="000C55AD" w:rsidP="00107EDE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pacing w:val="-2"/>
                <w:lang w:val="lt-LT" w:eastAsia="lt-LT"/>
              </w:rPr>
              <w:t>Pastabos</w:t>
            </w:r>
          </w:p>
        </w:tc>
      </w:tr>
      <w:tr w:rsidR="000C55AD" w:rsidRPr="00832925" w14:paraId="13A6EC6D" w14:textId="77777777" w:rsidTr="00107EDE">
        <w:trPr>
          <w:trHeight w:val="6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7DE8B" w14:textId="77777777" w:rsidR="000C55AD" w:rsidRPr="00832925" w:rsidRDefault="000C55AD" w:rsidP="00107EDE">
            <w:pPr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1390F" w14:textId="77777777" w:rsidR="000C55AD" w:rsidRPr="00832925" w:rsidRDefault="000C55AD" w:rsidP="00107EDE">
            <w:pPr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E7FD" w14:textId="77777777" w:rsidR="000C55AD" w:rsidRPr="00832925" w:rsidRDefault="000C55AD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EB232" w14:textId="77777777" w:rsidR="000C55AD" w:rsidRPr="00832925" w:rsidRDefault="000C55AD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Taip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7077A" w14:textId="77777777" w:rsidR="000C55AD" w:rsidRPr="00832925" w:rsidRDefault="000C55AD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68899" w14:textId="77777777" w:rsidR="000C55AD" w:rsidRPr="00832925" w:rsidRDefault="000C55AD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Netaikoma</w:t>
            </w:r>
            <w:r>
              <w:rPr>
                <w:rFonts w:asciiTheme="majorBidi" w:hAnsiTheme="majorBidi" w:cstheme="majorBidi"/>
                <w:b/>
                <w:bCs/>
                <w:lang w:val="lt-LT"/>
              </w:rPr>
              <w:t xml:space="preserve"> </w:t>
            </w: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/ Neaktualu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3B930EAE" w14:textId="77777777" w:rsidR="000C55AD" w:rsidRPr="00832925" w:rsidRDefault="000C55AD" w:rsidP="00107EDE">
            <w:pPr>
              <w:tabs>
                <w:tab w:val="left" w:pos="5046"/>
              </w:tabs>
              <w:rPr>
                <w:rFonts w:asciiTheme="majorBidi" w:hAnsiTheme="majorBidi" w:cstheme="majorBidi"/>
                <w:b/>
                <w:lang w:val="lt-LT"/>
              </w:rPr>
            </w:pPr>
          </w:p>
        </w:tc>
      </w:tr>
      <w:tr w:rsidR="000C55AD" w:rsidRPr="002E45FC" w14:paraId="0E18BEE9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274" w14:textId="77777777" w:rsidR="000C55AD" w:rsidRPr="00832925" w:rsidRDefault="000C55AD" w:rsidP="000C55AD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01B" w14:textId="77777777" w:rsidR="000C55AD" w:rsidRPr="00832925" w:rsidRDefault="000C55AD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patalpų paviršiai, dydis, išplanavimas leidžia užtikrinti, kad patalpas būtų lengva valyti ir dezinfekuoti?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59E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5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2 punkto b dalis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9F5E1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A7D4D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5AE2B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4E076E21" w14:textId="77777777" w:rsidR="000C55AD" w:rsidRPr="006668E6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0C55AD" w:rsidRPr="002E45FC" w14:paraId="07B488A4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8BB" w14:textId="77777777" w:rsidR="000C55AD" w:rsidRPr="008E7421" w:rsidRDefault="000C55AD" w:rsidP="000C55AD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E98" w14:textId="77777777" w:rsidR="000C55AD" w:rsidRPr="00832925" w:rsidRDefault="000C55AD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nuotekų, panaudoto vandens, kitų skysčių surinkimo sistemos veikia, nėra užsikimšę?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CD6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6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2 punkto b dalis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60963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2E4EC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4EFEE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146527CC" w14:textId="77777777" w:rsidR="000C55AD" w:rsidRPr="006668E6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0C55AD" w:rsidRPr="002E45FC" w14:paraId="602647DD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2A7" w14:textId="77777777" w:rsidR="000C55AD" w:rsidRPr="008E7421" w:rsidRDefault="000C55AD" w:rsidP="000C55AD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78D" w14:textId="77777777" w:rsidR="000C55AD" w:rsidRPr="00832925" w:rsidRDefault="000C55AD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patalpos apsaugotos, kad į jas nepatektų kenkėjai (pvz.: vabzdžiai, graužikai ar paukščiai)?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F9E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7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2 punkto d dalis</w:t>
            </w:r>
            <w:r w:rsidRPr="0083292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EA09B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43CD6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ED879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1A238808" w14:textId="77777777" w:rsidR="000C55AD" w:rsidRPr="006668E6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0C55AD" w:rsidRPr="002E45FC" w14:paraId="7D0B1189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C287" w14:textId="77777777" w:rsidR="000C55AD" w:rsidRPr="008E7421" w:rsidRDefault="000C55AD" w:rsidP="000C55AD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b/>
                <w:bCs/>
                <w:lang w:val="pt-B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556" w14:textId="77777777" w:rsidR="000C55AD" w:rsidRPr="00832925" w:rsidRDefault="000C55AD" w:rsidP="00107EDE">
            <w:pPr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yra įrengta darbuotojų persirengimo patalpa (vieta)</w:t>
            </w:r>
            <w:r>
              <w:rPr>
                <w:rFonts w:asciiTheme="majorBidi" w:hAnsiTheme="majorBidi" w:cstheme="majorBidi"/>
                <w:lang w:val="lt-LT"/>
              </w:rPr>
              <w:t xml:space="preserve"> ir darbuotojų tualetas</w:t>
            </w:r>
            <w:r w:rsidRPr="00832925">
              <w:rPr>
                <w:rFonts w:asciiTheme="majorBidi" w:hAnsiTheme="majorBidi" w:cstheme="majorBidi"/>
                <w:lang w:val="lt-LT"/>
              </w:rPr>
              <w:t>?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1E0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  <w:hyperlink r:id="rId8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2 punkto c dalis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5BA899A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14:paraId="103DC0E0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2C1D0274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6FF3F501" w14:textId="77777777" w:rsidR="000C55AD" w:rsidRPr="006668E6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0C55AD" w:rsidRPr="002E45FC" w14:paraId="1E232F21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9D72" w14:textId="77777777" w:rsidR="000C55AD" w:rsidRPr="008E7421" w:rsidRDefault="000C55AD" w:rsidP="000C55AD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ECF" w14:textId="77777777" w:rsidR="000C55AD" w:rsidRPr="00832925" w:rsidRDefault="000C55AD" w:rsidP="00107EDE">
            <w:pPr>
              <w:tabs>
                <w:tab w:val="left" w:pos="1892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yra uždara patalpa, skirta šalutinių gyvūninių produktų gaminiams gauti ir išsiųsti?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7795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9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2 punkto a dalis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6AF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6352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246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1E0A970C" w14:textId="77777777" w:rsidR="000C55AD" w:rsidRPr="006668E6" w:rsidRDefault="000C55AD" w:rsidP="00107EDE">
            <w:pPr>
              <w:jc w:val="both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[</w:t>
            </w:r>
            <w:r w:rsidRPr="006668E6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Išskyrus atvejus kai ŠGPG:</w:t>
            </w:r>
          </w:p>
          <w:p w14:paraId="17516302" w14:textId="77777777" w:rsidR="000C55AD" w:rsidRPr="006668E6" w:rsidRDefault="000C55AD" w:rsidP="00107EDE">
            <w:pPr>
              <w:jc w:val="both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6668E6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i) išsiunčiami per įrenginius, kurie leidžia išvengti pavojaus visuomenės ir gyvūnų sveikatai plitimo, pavyzdžiui, per skystiems produktams skirtus uždarus vamzdynus; arba</w:t>
            </w:r>
          </w:p>
          <w:p w14:paraId="284FF2D2" w14:textId="77777777" w:rsidR="000C55AD" w:rsidRPr="006668E6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  <w:r w:rsidRPr="006668E6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 xml:space="preserve">ii) gauti pakuotėje, pavyzdžiui, dideliuose </w:t>
            </w:r>
            <w:r w:rsidRPr="006668E6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lastRenderedPageBreak/>
              <w:t>krepšiuose, arba uždaruose nutekėjimui nelaidžiuose konteineriuose arba transporto priemonėse;</w:t>
            </w:r>
            <w:r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]</w:t>
            </w:r>
          </w:p>
        </w:tc>
      </w:tr>
      <w:tr w:rsidR="000C55AD" w:rsidRPr="002E45FC" w14:paraId="5C3F8DCD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619" w14:textId="77777777" w:rsidR="000C55AD" w:rsidRPr="008E7421" w:rsidRDefault="000C55AD" w:rsidP="000C55AD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BC1" w14:textId="77777777" w:rsidR="000C55AD" w:rsidRPr="00832925" w:rsidRDefault="000C55AD" w:rsidP="00107EDE">
            <w:pPr>
              <w:jc w:val="both"/>
              <w:rPr>
                <w:rFonts w:asciiTheme="majorBidi" w:eastAsia="Aptos" w:hAnsiTheme="majorBidi" w:cstheme="majorBidi"/>
                <w:lang w:val="lt-LT" w:eastAsia="en-US"/>
              </w:rPr>
            </w:pPr>
            <w:r w:rsidRPr="008E7421">
              <w:rPr>
                <w:rFonts w:asciiTheme="majorBidi" w:hAnsiTheme="majorBidi" w:cstheme="majorBidi"/>
                <w:lang w:val="lt-LT"/>
              </w:rPr>
              <w:t xml:space="preserve">Ar įranga užtikrina, kad perdirbtas mėšlas, perdirbto mėšlo gaminiai, vabzdžių atmatos ir šikšnosparnių </w:t>
            </w:r>
            <w:proofErr w:type="spellStart"/>
            <w:r w:rsidRPr="008E7421">
              <w:rPr>
                <w:rFonts w:asciiTheme="majorBidi" w:hAnsiTheme="majorBidi" w:cstheme="majorBidi"/>
                <w:lang w:val="lt-LT"/>
              </w:rPr>
              <w:t>guanas</w:t>
            </w:r>
            <w:proofErr w:type="spellEnd"/>
            <w:r w:rsidRPr="008E7421">
              <w:rPr>
                <w:rFonts w:asciiTheme="majorBidi" w:hAnsiTheme="majorBidi" w:cstheme="majorBidi"/>
                <w:lang w:val="lt-LT"/>
              </w:rPr>
              <w:t xml:space="preserve"> apdorojami karščiu ne trumpiau kaip 60 minučių bent 70</w:t>
            </w:r>
            <w:r>
              <w:rPr>
                <w:rFonts w:asciiTheme="majorBidi" w:hAnsiTheme="majorBidi" w:cstheme="majorBidi"/>
                <w:lang w:val="lt-LT"/>
              </w:rPr>
              <w:t> </w:t>
            </w:r>
            <w:r w:rsidRPr="008E7421">
              <w:rPr>
                <w:rFonts w:asciiTheme="majorBidi" w:hAnsiTheme="majorBidi" w:cstheme="majorBidi"/>
                <w:lang w:val="lt-LT"/>
              </w:rPr>
              <w:t>°C temperatūroje?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D508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0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XI priedo, I skyriaus, 2 skirsnio, b punktas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64630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F4E58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D5492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69722D45" w14:textId="77777777" w:rsidR="000C55AD" w:rsidRPr="006668E6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0C55AD" w:rsidRPr="002E45FC" w14:paraId="0E2B39F4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43B" w14:textId="77777777" w:rsidR="000C55AD" w:rsidRPr="008E7421" w:rsidRDefault="000C55AD" w:rsidP="000C55AD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E57" w14:textId="77777777" w:rsidR="000C55AD" w:rsidRPr="008E7421" w:rsidRDefault="000C55AD" w:rsidP="00107EDE">
            <w:pPr>
              <w:jc w:val="both"/>
              <w:rPr>
                <w:rFonts w:asciiTheme="majorBidi" w:hAnsiTheme="majorBidi" w:cstheme="majorBidi"/>
                <w:lang w:val="pt-BR"/>
              </w:rPr>
            </w:pPr>
            <w:r w:rsidRPr="008E7421">
              <w:rPr>
                <w:rFonts w:asciiTheme="majorBidi" w:hAnsiTheme="majorBidi" w:cstheme="majorBidi"/>
                <w:lang w:val="pt-BR"/>
              </w:rPr>
              <w:t xml:space="preserve">Ar įmonės savikontrolės tikslais numatyta atrinkti </w:t>
            </w:r>
            <w:r w:rsidRPr="00832925">
              <w:rPr>
                <w:rFonts w:asciiTheme="majorBidi" w:hAnsiTheme="majorBidi" w:cstheme="majorBidi"/>
                <w:bCs/>
                <w:lang w:val="lt-LT"/>
              </w:rPr>
              <w:t>p</w:t>
            </w:r>
            <w:r w:rsidRPr="008E7421">
              <w:rPr>
                <w:rFonts w:asciiTheme="majorBidi" w:hAnsiTheme="majorBidi" w:cstheme="majorBidi"/>
                <w:lang w:val="pt-BR"/>
              </w:rPr>
              <w:t>erdirbto mėšlo, perdirbto mėšlo gaminių, vabzdžių atmatų ar</w:t>
            </w:r>
            <w:r w:rsidRPr="00832925">
              <w:rPr>
                <w:rFonts w:asciiTheme="majorBidi" w:hAnsiTheme="majorBidi" w:cstheme="majorBidi"/>
                <w:bCs/>
                <w:lang w:val="lt-LT"/>
              </w:rPr>
              <w:t xml:space="preserve"> </w:t>
            </w:r>
            <w:r w:rsidRPr="008E7421">
              <w:rPr>
                <w:rFonts w:asciiTheme="majorBidi" w:hAnsiTheme="majorBidi" w:cstheme="majorBidi"/>
                <w:lang w:val="pt-BR"/>
              </w:rPr>
              <w:t xml:space="preserve">šikšnosparnių guano mėginius? </w:t>
            </w:r>
          </w:p>
          <w:p w14:paraId="7CE077AC" w14:textId="77777777" w:rsidR="000C55AD" w:rsidRPr="008E7421" w:rsidRDefault="000C55AD" w:rsidP="00107EDE">
            <w:pPr>
              <w:jc w:val="both"/>
              <w:rPr>
                <w:rFonts w:asciiTheme="majorBidi" w:eastAsia="Aptos" w:hAnsiTheme="majorBidi" w:cstheme="majorBidi"/>
                <w:lang w:val="pt-BR" w:eastAsia="en-U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C4B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1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XI priedo, I skyriaus, 2 skirsnio, d punktas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A97FF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5E7CE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A9F54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0E2F3D06" w14:textId="77777777" w:rsidR="000C55AD" w:rsidRPr="008E7421" w:rsidRDefault="000C55AD" w:rsidP="00107EDE">
            <w:pPr>
              <w:jc w:val="both"/>
              <w:rPr>
                <w:rFonts w:asciiTheme="majorBidi" w:hAnsiTheme="majorBidi" w:cstheme="majorBidi"/>
                <w:color w:val="77206D" w:themeColor="accent5" w:themeShade="BF"/>
                <w:lang w:val="pt-BR"/>
              </w:rPr>
            </w:pPr>
            <w:r w:rsidRPr="008E7421">
              <w:rPr>
                <w:rFonts w:asciiTheme="majorBidi" w:hAnsiTheme="majorBidi" w:cstheme="majorBidi"/>
                <w:color w:val="77206D" w:themeColor="accent5" w:themeShade="BF"/>
                <w:lang w:val="pt-BR"/>
              </w:rPr>
              <w:t xml:space="preserve">[Mėšlo mėginiai, paimti po perdirbimo arba perdirbimo metu atitinka šiuos standartus: </w:t>
            </w:r>
          </w:p>
          <w:p w14:paraId="4544CB0C" w14:textId="77777777" w:rsidR="000C55AD" w:rsidRPr="008E7421" w:rsidRDefault="000C55AD" w:rsidP="00107EDE">
            <w:pPr>
              <w:jc w:val="both"/>
              <w:rPr>
                <w:rFonts w:asciiTheme="majorBidi" w:hAnsiTheme="majorBidi" w:cstheme="majorBidi"/>
                <w:color w:val="77206D" w:themeColor="accent5" w:themeShade="BF"/>
                <w:lang w:val="pt-BR"/>
              </w:rPr>
            </w:pPr>
            <w:r w:rsidRPr="008E7421">
              <w:rPr>
                <w:rFonts w:asciiTheme="majorBidi" w:hAnsiTheme="majorBidi" w:cstheme="majorBidi"/>
                <w:color w:val="77206D" w:themeColor="accent5" w:themeShade="BF"/>
                <w:lang w:val="pt-BR"/>
              </w:rPr>
              <w:t xml:space="preserve">Escherichia coli: n = 5, c = 5, m = 0, M = 1 000 1 grame; </w:t>
            </w:r>
          </w:p>
          <w:p w14:paraId="7B2E6A37" w14:textId="77777777" w:rsidR="000C55AD" w:rsidRPr="008E7421" w:rsidRDefault="000C55AD" w:rsidP="00107EDE">
            <w:pPr>
              <w:jc w:val="both"/>
              <w:rPr>
                <w:rFonts w:asciiTheme="majorBidi" w:hAnsiTheme="majorBidi" w:cstheme="majorBidi"/>
                <w:color w:val="77206D" w:themeColor="accent5" w:themeShade="BF"/>
                <w:lang w:val="pt-BR"/>
              </w:rPr>
            </w:pPr>
            <w:r w:rsidRPr="008E7421">
              <w:rPr>
                <w:rFonts w:asciiTheme="majorBidi" w:hAnsiTheme="majorBidi" w:cstheme="majorBidi"/>
                <w:color w:val="77206D" w:themeColor="accent5" w:themeShade="BF"/>
                <w:lang w:val="pt-BR"/>
              </w:rPr>
              <w:t xml:space="preserve">arba </w:t>
            </w:r>
          </w:p>
          <w:p w14:paraId="3EADBE89" w14:textId="77777777" w:rsidR="000C55AD" w:rsidRPr="008E7421" w:rsidRDefault="000C55AD" w:rsidP="00107EDE">
            <w:pPr>
              <w:jc w:val="both"/>
              <w:rPr>
                <w:rFonts w:asciiTheme="majorBidi" w:hAnsiTheme="majorBidi" w:cstheme="majorBidi"/>
                <w:color w:val="77206D" w:themeColor="accent5" w:themeShade="BF"/>
                <w:lang w:val="pt-BR"/>
              </w:rPr>
            </w:pPr>
            <w:r w:rsidRPr="008E7421">
              <w:rPr>
                <w:rFonts w:asciiTheme="majorBidi" w:hAnsiTheme="majorBidi" w:cstheme="majorBidi"/>
                <w:color w:val="77206D" w:themeColor="accent5" w:themeShade="BF"/>
                <w:lang w:val="pt-BR"/>
              </w:rPr>
              <w:t xml:space="preserve">Enterococcaceae: n = 5, c = 5, m = 0, M = 1 000 1 grame; </w:t>
            </w:r>
          </w:p>
          <w:p w14:paraId="2A735FAB" w14:textId="77777777" w:rsidR="000C55AD" w:rsidRPr="008E7421" w:rsidRDefault="000C55AD" w:rsidP="00107EDE">
            <w:pPr>
              <w:jc w:val="both"/>
              <w:rPr>
                <w:rFonts w:asciiTheme="majorBidi" w:hAnsiTheme="majorBidi" w:cstheme="majorBidi"/>
                <w:color w:val="77206D" w:themeColor="accent5" w:themeShade="BF"/>
                <w:lang w:val="pt-BR"/>
              </w:rPr>
            </w:pPr>
            <w:r w:rsidRPr="008E7421">
              <w:rPr>
                <w:rFonts w:asciiTheme="majorBidi" w:hAnsiTheme="majorBidi" w:cstheme="majorBidi"/>
                <w:color w:val="77206D" w:themeColor="accent5" w:themeShade="BF"/>
                <w:lang w:val="pt-BR"/>
              </w:rPr>
              <w:t xml:space="preserve">ir </w:t>
            </w:r>
          </w:p>
          <w:p w14:paraId="2729EB0E" w14:textId="77777777" w:rsidR="000C55AD" w:rsidRPr="006668E6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6668E6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 xml:space="preserve">mėšlo mėginiai, paimti sandėliuojant ar pakrovimo iš gamybos ar biologinių dujų arba kompostavimo įmonėje metu, turi atitikti tokius standartus: </w:t>
            </w:r>
            <w:proofErr w:type="spellStart"/>
            <w:r w:rsidRPr="006668E6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Salmonella</w:t>
            </w:r>
            <w:proofErr w:type="spellEnd"/>
            <w:r w:rsidRPr="006668E6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: nėra 25 gramuose: n = 5; c = 0; m = 0; M = 0</w:t>
            </w:r>
            <w:r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]</w:t>
            </w:r>
          </w:p>
        </w:tc>
      </w:tr>
      <w:tr w:rsidR="000C55AD" w:rsidRPr="002E45FC" w14:paraId="21FB5360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C28" w14:textId="77777777" w:rsidR="000C55AD" w:rsidRPr="008E7421" w:rsidRDefault="000C55AD" w:rsidP="000C55AD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BF1" w14:textId="77777777" w:rsidR="000C55AD" w:rsidRPr="00832925" w:rsidRDefault="000C55AD" w:rsidP="00107EDE">
            <w:pPr>
              <w:jc w:val="both"/>
              <w:rPr>
                <w:rFonts w:asciiTheme="majorBidi" w:eastAsia="Aptos" w:hAnsiTheme="majorBidi" w:cstheme="majorBidi"/>
                <w:lang w:val="lt-LT" w:eastAsia="en-US"/>
              </w:rPr>
            </w:pPr>
            <w:r w:rsidRPr="00832925">
              <w:rPr>
                <w:rFonts w:asciiTheme="majorBidi" w:eastAsia="Aptos" w:hAnsiTheme="majorBidi" w:cstheme="majorBidi"/>
                <w:lang w:val="lt-LT" w:eastAsia="en-US"/>
              </w:rPr>
              <w:t xml:space="preserve">Ar yra numatytos patalpos ar talpos </w:t>
            </w:r>
            <w:r w:rsidRPr="008E7421">
              <w:rPr>
                <w:rFonts w:asciiTheme="majorBidi" w:hAnsiTheme="majorBidi" w:cstheme="majorBidi"/>
                <w:lang w:val="pt-BR"/>
              </w:rPr>
              <w:t xml:space="preserve">perdirbtam mėšlui, perdirbto mėšlo gaminiams, vabzdžių atmatoms ir šikšnosparnių guano </w:t>
            </w:r>
            <w:r w:rsidRPr="00832925">
              <w:rPr>
                <w:rFonts w:asciiTheme="majorBidi" w:eastAsia="Aptos" w:hAnsiTheme="majorBidi" w:cstheme="majorBidi"/>
                <w:lang w:val="lt-LT" w:eastAsia="en-US"/>
              </w:rPr>
              <w:t>saugojimui?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BC57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2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XI priedo, I skyriaus, 2 skirsnio, e punkto i ir ii papunktis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B561C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3376E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246D5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67F44B58" w14:textId="77777777" w:rsidR="000C55AD" w:rsidRPr="006668E6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[</w:t>
            </w:r>
            <w:r w:rsidRPr="006668E6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 xml:space="preserve">Perdirbtas mėšlas, perdirbto mėšlo gaminiai, vabzdžių atmatos ir šikšnosparnių </w:t>
            </w:r>
            <w:proofErr w:type="spellStart"/>
            <w:r w:rsidRPr="006668E6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guanas</w:t>
            </w:r>
            <w:proofErr w:type="spellEnd"/>
            <w:r w:rsidRPr="006668E6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 xml:space="preserve"> saugomi gerai uždarytose ir izoliuotose siloso duobėse arba tinkamai sukonstruotuose </w:t>
            </w:r>
            <w:r w:rsidRPr="006668E6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lastRenderedPageBreak/>
              <w:t>sandėliuose arba sandariuose pakuose (plastmasiniuose maišuose arba „didžiuliuose krepšiuose“).</w:t>
            </w:r>
            <w:r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]</w:t>
            </w:r>
          </w:p>
        </w:tc>
      </w:tr>
      <w:tr w:rsidR="000C55AD" w:rsidRPr="002E45FC" w14:paraId="1E00AA9B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CA3" w14:textId="77777777" w:rsidR="000C55AD" w:rsidRPr="008E7421" w:rsidRDefault="000C55AD" w:rsidP="000C55AD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CFD" w14:textId="77777777" w:rsidR="000C55AD" w:rsidRPr="00832925" w:rsidRDefault="000C55AD" w:rsidP="00107EDE">
            <w:pPr>
              <w:jc w:val="both"/>
              <w:rPr>
                <w:rFonts w:asciiTheme="majorBidi" w:eastAsia="Aptos" w:hAnsiTheme="majorBidi" w:cstheme="majorBidi"/>
                <w:lang w:val="lt-LT" w:eastAsia="en-US"/>
              </w:rPr>
            </w:pPr>
            <w:r w:rsidRPr="008E7421">
              <w:rPr>
                <w:rFonts w:asciiTheme="majorBidi" w:hAnsiTheme="majorBidi" w:cstheme="majorBidi"/>
                <w:lang w:val="lt-LT"/>
              </w:rPr>
              <w:t>Ar numatyta, kad į mėsos ir kaulų miltus, gautus iš 2 kategorijos medžiagų ar perdirbtus gyvūninius baltymus</w:t>
            </w:r>
            <w:r>
              <w:rPr>
                <w:rFonts w:asciiTheme="majorBidi" w:hAnsiTheme="majorBidi" w:cstheme="majorBidi"/>
                <w:lang w:val="lt-LT"/>
              </w:rPr>
              <w:t>,</w:t>
            </w:r>
            <w:r w:rsidRPr="008E7421">
              <w:rPr>
                <w:rFonts w:asciiTheme="majorBidi" w:hAnsiTheme="majorBidi" w:cstheme="majorBidi"/>
                <w:lang w:val="lt-LT"/>
              </w:rPr>
              <w:t xml:space="preserve"> yra įmaišomas pakankamas minimalus nustatyto komponento kiekis?</w:t>
            </w:r>
            <w:r w:rsidRPr="008E7421">
              <w:rPr>
                <w:rFonts w:asciiTheme="majorBidi" w:hAnsiTheme="majorBidi" w:cstheme="majorBidi"/>
                <w:i/>
                <w:lang w:val="lt-LT"/>
              </w:rPr>
              <w:t xml:space="preserve"> </w:t>
            </w:r>
            <w:r w:rsidRPr="008E7421">
              <w:rPr>
                <w:rFonts w:asciiTheme="majorBidi" w:hAnsiTheme="majorBidi" w:cstheme="majorBidi"/>
                <w:iCs/>
                <w:lang w:val="lt-LT"/>
              </w:rPr>
              <w:t>(</w:t>
            </w:r>
            <w:r>
              <w:rPr>
                <w:rFonts w:asciiTheme="majorBidi" w:hAnsiTheme="majorBidi" w:cstheme="majorBidi"/>
                <w:iCs/>
                <w:lang w:val="lt-LT"/>
              </w:rPr>
              <w:t>N</w:t>
            </w:r>
            <w:r w:rsidRPr="008E7421">
              <w:rPr>
                <w:rFonts w:asciiTheme="majorBidi" w:hAnsiTheme="majorBidi" w:cstheme="majorBidi"/>
                <w:iCs/>
                <w:lang w:val="lt-LT"/>
              </w:rPr>
              <w:t>etaikoma ne didesnėse kaip 50 kg svorio pakuotėse galutiniam vartotojui ar iki 1000 kg didmaišiai su papildomu ženklinimu).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8C3B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3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XI priedo, II skyriaus, 1 skirsnio, 2 punktas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CA7BA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3A73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2A3D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1527458C" w14:textId="77777777" w:rsidR="000C55AD" w:rsidRPr="008E7421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8E7421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 xml:space="preserve">[Nurodyti reikalavimai netaikomi: </w:t>
            </w:r>
          </w:p>
          <w:p w14:paraId="1EA3C81B" w14:textId="77777777" w:rsidR="000C55AD" w:rsidRPr="008E7421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8E7421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 xml:space="preserve">a) organinėms trąšoms ir dirvožemį gerinančioms medžiagoms pardavimui skirtose ne didesnėse kaip 50 kg svorio pakuotėse galutiniam vartotojui, arba </w:t>
            </w:r>
          </w:p>
          <w:p w14:paraId="0C4068C9" w14:textId="77777777" w:rsidR="000C55AD" w:rsidRPr="006668E6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8E7421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>b) organinėms trąšoms ir dirvožemį gerinančioms medžiagoms dideliuose krepšiuose, ne didesniuose nei 1 000 kg svorio, pakuotėse, ant kurių nurodyta, kad organinės trąšos nėra skirtos berti į dirvą, prie kurios gali prieiti ūkiniai gyvūnai, su sąlyga, kad valstybės narės, kurioje organinės trąšos ar dirvožemį gerinanti medžiaga numatoma berti į dirvą, kompetentinga institucija leido naudoti tokius didelius krepšius remdamasi galimo medžiagų patekimo į gyvūnus laikančius ūkius ar į dirvą, į kurią gali patekti ūkiniai gyvūnai, tikimybe.]</w:t>
            </w:r>
          </w:p>
        </w:tc>
      </w:tr>
      <w:tr w:rsidR="000C55AD" w:rsidRPr="002E45FC" w14:paraId="24B77596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002" w14:textId="77777777" w:rsidR="000C55AD" w:rsidRPr="008E7421" w:rsidRDefault="000C55AD" w:rsidP="000C55AD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C15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83292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Ar į produktus, kurie bus beriami į dirvą įmaišymui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,</w:t>
            </w:r>
            <w:r w:rsidRPr="0083292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naudojamas tinkamas komponentas?</w:t>
            </w:r>
          </w:p>
          <w:p w14:paraId="74A7D3AC" w14:textId="77777777" w:rsidR="000C55AD" w:rsidRPr="00832925" w:rsidRDefault="000C55AD" w:rsidP="00107EDE">
            <w:pPr>
              <w:jc w:val="both"/>
              <w:rPr>
                <w:rFonts w:asciiTheme="majorBidi" w:eastAsia="Aptos" w:hAnsiTheme="majorBidi" w:cstheme="majorBidi"/>
                <w:lang w:val="lt-LT" w:eastAsia="en-U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9B7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4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XI priedo, II skyriaus, 1 skirsnio, 3 punkto a papunktis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719E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76F98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11912" w14:textId="77777777" w:rsidR="000C55AD" w:rsidRPr="00832925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628BB54F" w14:textId="77777777" w:rsidR="000C55AD" w:rsidRPr="006668E6" w:rsidRDefault="000C55AD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8E7421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>[Komponentas sudarytas iš kalkių, mėšlo, šlapimo, komposto ar šalutinių gyvūninių produktų transformacijos į biodujas ar kitas medžiagas, pavyzdžiui, mineralines trąšas, irimo atliekų, kurios nėra naudojamos gyvūnams šerti ir kurį naudojant išvengiama mišinio naudojimo šėrimo tikslais pagal gerąją žemės ūkio patirtį.]</w:t>
            </w:r>
          </w:p>
        </w:tc>
      </w:tr>
    </w:tbl>
    <w:p w14:paraId="2D26C5D3" w14:textId="77777777" w:rsidR="000C55AD" w:rsidRPr="008E7421" w:rsidRDefault="000C55AD" w:rsidP="000C55AD">
      <w:pPr>
        <w:pStyle w:val="bodytext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lt-LT"/>
        </w:rPr>
      </w:pPr>
    </w:p>
    <w:p w14:paraId="437FEA52" w14:textId="77777777" w:rsidR="000C55AD" w:rsidRPr="008E7421" w:rsidRDefault="000C55AD" w:rsidP="000C55AD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Teisės aktų, pagal kuriuos atliekamas reikalavimo atitikties įvertinimas, sąrašas:</w:t>
      </w:r>
    </w:p>
    <w:p w14:paraId="1D4D2E3F" w14:textId="77777777" w:rsidR="000C55AD" w:rsidRPr="008E7421" w:rsidRDefault="000C55AD" w:rsidP="000C55AD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34F3F44A" w14:textId="77777777" w:rsidR="000C55AD" w:rsidRDefault="000C55AD" w:rsidP="000C55AD">
      <w:pPr>
        <w:pStyle w:val="ListParagraph"/>
        <w:widowControl w:val="0"/>
        <w:numPr>
          <w:ilvl w:val="0"/>
          <w:numId w:val="2"/>
        </w:numPr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2011 m. vasario 25 d. Komisijos reglamento (ES) Nr. 142/2011, kuriuo įgyvendinami Europos Parlamento ir Tarybos</w:t>
      </w:r>
    </w:p>
    <w:p w14:paraId="0DEF86B7" w14:textId="77777777" w:rsidR="000C55AD" w:rsidRDefault="000C55AD" w:rsidP="000C55AD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reglamentas (EB) Nr. 1069/2009, kuriuo nustatomos žmonėms vartoti neskirtų šalutinių gyvūninių produktų ir jų</w:t>
      </w:r>
    </w:p>
    <w:p w14:paraId="390FC710" w14:textId="77777777" w:rsidR="000C55AD" w:rsidRDefault="000C55AD" w:rsidP="000C55AD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gaminių sveikumo taisyklės, ir Tarybos direktyva 97/78/EB dėl tam tikrų mėginių ir priemonių, kuriems netaikomi </w:t>
      </w:r>
    </w:p>
    <w:p w14:paraId="2D548D93" w14:textId="77777777" w:rsidR="000C55AD" w:rsidRPr="008E7421" w:rsidRDefault="000C55AD" w:rsidP="000C55AD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veterinariniai tikrinimai pasienyje pagal tą direktyvą.</w:t>
      </w:r>
    </w:p>
    <w:p w14:paraId="59E5D6BB" w14:textId="00BCAB5F" w:rsidR="000C55AD" w:rsidRPr="008E7421" w:rsidRDefault="000C55AD" w:rsidP="000C55AD">
      <w:pPr>
        <w:pStyle w:val="ListParagraph"/>
        <w:rPr>
          <w:rFonts w:asciiTheme="majorBidi" w:hAnsiTheme="majorBidi" w:cstheme="majorBidi"/>
          <w:sz w:val="24"/>
          <w:szCs w:val="24"/>
          <w:lang w:val="lt-LT"/>
        </w:rPr>
      </w:pPr>
      <w:hyperlink r:id="rId15" w:history="1">
        <w:r w:rsidRPr="008E7421">
          <w:rPr>
            <w:rStyle w:val="Hyperlink"/>
            <w:rFonts w:asciiTheme="majorBidi" w:eastAsiaTheme="majorEastAsia" w:hAnsiTheme="majorBidi"/>
            <w:sz w:val="24"/>
            <w:szCs w:val="24"/>
            <w:lang w:val="lt-LT"/>
          </w:rPr>
          <w:t>https://eur-lex.europa.eu/legal-content/EN/TXT/?uri=CELEX%3A02011R0142-20220417&amp;qid=1695124207395</w:t>
        </w:r>
      </w:hyperlink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</w:p>
    <w:p w14:paraId="1F540C2D" w14:textId="77777777" w:rsidR="008C79E6" w:rsidRDefault="008C79E6"/>
    <w:sectPr w:rsidR="008C79E6" w:rsidSect="000C55A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D187E"/>
    <w:multiLevelType w:val="multilevel"/>
    <w:tmpl w:val="5A8D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F4BDB"/>
    <w:multiLevelType w:val="multilevel"/>
    <w:tmpl w:val="68FF4BDB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4323484">
    <w:abstractNumId w:val="1"/>
  </w:num>
  <w:num w:numId="2" w16cid:durableId="3389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AD"/>
    <w:rsid w:val="000C55AD"/>
    <w:rsid w:val="003B706E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21F"/>
  <w15:chartTrackingRefBased/>
  <w15:docId w15:val="{F18030E1-5371-4BC3-9A07-13494180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AD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5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5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5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5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5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qFormat/>
    <w:rsid w:val="000C55AD"/>
    <w:rPr>
      <w:color w:val="0000FF"/>
      <w:u w:val="single"/>
    </w:rPr>
  </w:style>
  <w:style w:type="paragraph" w:customStyle="1" w:styleId="bodytext">
    <w:name w:val="bodytext"/>
    <w:basedOn w:val="Normal"/>
    <w:qFormat/>
    <w:rsid w:val="000C55A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fault">
    <w:name w:val="Default"/>
    <w:qFormat/>
    <w:rsid w:val="000C55AD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1R0142-20220417&amp;qid=1695124207395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hyperlink" Target="https://eur-lex.europa.eu/legal-content/EN/TXT/?uri=CELEX%3A02011R0142-20220417&amp;qid=169512420739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11R0142-20220417&amp;qid=1695124207395" TargetMode="External"/><Relationship Id="rId11" Type="http://schemas.openxmlformats.org/officeDocument/2006/relationships/hyperlink" Target="https://eur-lex.europa.eu/legal-content/EN/TXT/?uri=CELEX%3A02011R0142-20220417&amp;qid=1695124207395" TargetMode="External"/><Relationship Id="rId5" Type="http://schemas.openxmlformats.org/officeDocument/2006/relationships/hyperlink" Target="https://eur-lex.europa.eu/legal-content/EN/TXT/?uri=CELEX%3A02011R0142-20220417&amp;qid=1695124207395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10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3930</Words>
  <Characters>2241</Characters>
  <Application>Microsoft Office Word</Application>
  <DocSecurity>0</DocSecurity>
  <Lines>18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2026-04-07T13:21:00Z</dcterms:created>
  <dcterms:modified xsi:type="dcterms:W3CDTF">2026-04-07T13:22:00Z</dcterms:modified>
</cp:coreProperties>
</file>