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6F2E" w14:textId="77777777" w:rsidR="003225EF" w:rsidRPr="00322FE6" w:rsidRDefault="003225EF" w:rsidP="003225EF">
      <w:pPr>
        <w:tabs>
          <w:tab w:val="left" w:pos="13175"/>
        </w:tabs>
        <w:ind w:left="9639" w:right="283"/>
        <w:rPr>
          <w:rFonts w:ascii="Times New Roman" w:hAnsi="Times New Roman"/>
          <w:sz w:val="24"/>
          <w:szCs w:val="24"/>
          <w:lang w:val="lt-LT"/>
        </w:rPr>
      </w:pPr>
      <w:r w:rsidRPr="00322FE6">
        <w:rPr>
          <w:rFonts w:ascii="Times New Roman" w:hAnsi="Times New Roman"/>
          <w:sz w:val="24"/>
          <w:szCs w:val="24"/>
          <w:lang w:val="lt-LT"/>
        </w:rPr>
        <w:t xml:space="preserve">Darbo instrukcijos KT-2-5-D1 „Pašarų ūkio subjektų valstybinė veterinarinė kontrolė“ </w:t>
      </w:r>
    </w:p>
    <w:p w14:paraId="7445343D" w14:textId="77777777" w:rsidR="003225EF" w:rsidRPr="00322FE6" w:rsidRDefault="003225EF" w:rsidP="003225EF">
      <w:pPr>
        <w:ind w:left="10206" w:hanging="567"/>
        <w:rPr>
          <w:rFonts w:ascii="Times New Roman" w:hAnsi="Times New Roman"/>
          <w:sz w:val="24"/>
          <w:szCs w:val="24"/>
          <w:lang w:val="lt-LT"/>
        </w:rPr>
      </w:pPr>
      <w:r w:rsidRPr="00322FE6">
        <w:rPr>
          <w:rFonts w:ascii="Times New Roman" w:hAnsi="Times New Roman"/>
          <w:sz w:val="24"/>
          <w:szCs w:val="24"/>
          <w:lang w:val="lt-LT"/>
        </w:rPr>
        <w:t>1 priedas</w:t>
      </w:r>
    </w:p>
    <w:p w14:paraId="1DF20405" w14:textId="77777777" w:rsidR="003225EF" w:rsidRPr="00884E81" w:rsidRDefault="003225EF" w:rsidP="003225EF">
      <w:pPr>
        <w:rPr>
          <w:rFonts w:ascii="Times New Roman" w:hAnsi="Times New Roman"/>
          <w:lang w:val="lt-LT"/>
        </w:rPr>
      </w:pPr>
    </w:p>
    <w:p w14:paraId="6890F108" w14:textId="77777777" w:rsidR="003225EF" w:rsidRPr="00884E81" w:rsidRDefault="003225EF" w:rsidP="003225EF">
      <w:pPr>
        <w:widowControl w:val="0"/>
        <w:shd w:val="clear" w:color="auto" w:fill="FFFFFF"/>
        <w:tabs>
          <w:tab w:val="left" w:leader="underscore" w:pos="4752"/>
        </w:tabs>
        <w:ind w:hanging="142"/>
        <w:jc w:val="center"/>
        <w:rPr>
          <w:rFonts w:ascii="Times New Roman" w:hAnsi="Times New Roman"/>
          <w:b/>
          <w:bCs/>
          <w:sz w:val="24"/>
          <w:szCs w:val="24"/>
          <w:lang w:val="lt-LT" w:eastAsia="en-US"/>
        </w:rPr>
      </w:pPr>
      <w:r>
        <w:rPr>
          <w:rFonts w:ascii="Times New Roman" w:hAnsi="Times New Roman"/>
          <w:b/>
          <w:bCs/>
          <w:sz w:val="24"/>
          <w:szCs w:val="24"/>
          <w:lang w:val="lt-LT" w:eastAsia="en-US"/>
        </w:rPr>
        <w:t xml:space="preserve">BENDRŲJŲ </w:t>
      </w:r>
      <w:r w:rsidRPr="00884E81">
        <w:rPr>
          <w:rFonts w:ascii="Times New Roman" w:hAnsi="Times New Roman"/>
          <w:b/>
          <w:bCs/>
          <w:sz w:val="24"/>
          <w:szCs w:val="24"/>
          <w:lang w:val="lt-LT" w:eastAsia="en-US"/>
        </w:rPr>
        <w:t xml:space="preserve">REIKALAVIMŲ </w:t>
      </w:r>
      <w:r w:rsidRPr="00117BF4">
        <w:rPr>
          <w:rFonts w:ascii="Times New Roman" w:hAnsi="Times New Roman"/>
          <w:b/>
          <w:bCs/>
          <w:sz w:val="24"/>
          <w:szCs w:val="24"/>
          <w:lang w:val="lt-LT" w:eastAsia="en-US"/>
        </w:rPr>
        <w:t xml:space="preserve">PAŠARŲ </w:t>
      </w:r>
      <w:r w:rsidRPr="00B37C29">
        <w:rPr>
          <w:rFonts w:ascii="Times New Roman" w:hAnsi="Times New Roman"/>
          <w:b/>
          <w:bCs/>
          <w:sz w:val="24"/>
          <w:szCs w:val="24"/>
          <w:lang w:val="lt-LT"/>
        </w:rPr>
        <w:t>ŪKIO SUBJEKTUI</w:t>
      </w:r>
      <w:r w:rsidRPr="00B37C29">
        <w:rPr>
          <w:rFonts w:ascii="Times New Roman" w:hAnsi="Times New Roman"/>
          <w:b/>
          <w:bCs/>
          <w:lang w:val="lt-LT"/>
        </w:rPr>
        <w:t xml:space="preserve"> </w:t>
      </w:r>
      <w:r w:rsidRPr="00884E81">
        <w:rPr>
          <w:rFonts w:ascii="Times New Roman" w:hAnsi="Times New Roman"/>
          <w:b/>
          <w:bCs/>
          <w:sz w:val="24"/>
          <w:szCs w:val="24"/>
          <w:lang w:val="lt-LT" w:eastAsia="en-US"/>
        </w:rPr>
        <w:t>KONTROLINIS KLAUSIMYNAS</w:t>
      </w:r>
    </w:p>
    <w:p w14:paraId="1B7BA91C" w14:textId="77777777" w:rsidR="003225EF" w:rsidRPr="00884E81" w:rsidRDefault="003225EF" w:rsidP="003225EF">
      <w:pPr>
        <w:widowControl w:val="0"/>
        <w:shd w:val="clear" w:color="auto" w:fill="FFFFFF"/>
        <w:tabs>
          <w:tab w:val="left" w:leader="underscore" w:pos="4752"/>
        </w:tabs>
        <w:ind w:hanging="142"/>
        <w:jc w:val="center"/>
        <w:rPr>
          <w:rFonts w:ascii="Times New Roman" w:hAnsi="Times New Roman"/>
          <w:b/>
          <w:bCs/>
          <w:sz w:val="24"/>
          <w:szCs w:val="24"/>
          <w:lang w:val="lt-LT" w:eastAsia="en-US"/>
        </w:rPr>
      </w:pPr>
    </w:p>
    <w:tbl>
      <w:tblPr>
        <w:tblpPr w:leftFromText="180" w:rightFromText="180" w:vertAnchor="text" w:tblpY="1"/>
        <w:tblOverlap w:val="neve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0"/>
        <w:gridCol w:w="3660"/>
        <w:gridCol w:w="2880"/>
        <w:gridCol w:w="720"/>
        <w:gridCol w:w="720"/>
        <w:gridCol w:w="1425"/>
        <w:gridCol w:w="4394"/>
      </w:tblGrid>
      <w:tr w:rsidR="003225EF" w:rsidRPr="0068644D" w14:paraId="7241BBF7" w14:textId="77777777" w:rsidTr="00A96C1C">
        <w:trPr>
          <w:cantSplit/>
          <w:trHeight w:val="22"/>
        </w:trPr>
        <w:tc>
          <w:tcPr>
            <w:tcW w:w="700" w:type="dxa"/>
            <w:vMerge w:val="restart"/>
            <w:hideMark/>
          </w:tcPr>
          <w:p w14:paraId="72134B8B"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Eil. Nr.</w:t>
            </w:r>
          </w:p>
        </w:tc>
        <w:tc>
          <w:tcPr>
            <w:tcW w:w="3660" w:type="dxa"/>
            <w:vMerge w:val="restart"/>
            <w:shd w:val="clear" w:color="auto" w:fill="FFFFFF"/>
            <w:hideMark/>
          </w:tcPr>
          <w:p w14:paraId="6946126C"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Reikalavimas</w:t>
            </w:r>
          </w:p>
        </w:tc>
        <w:tc>
          <w:tcPr>
            <w:tcW w:w="2880" w:type="dxa"/>
            <w:vMerge w:val="restart"/>
            <w:shd w:val="clear" w:color="auto" w:fill="FFFFFF"/>
            <w:hideMark/>
          </w:tcPr>
          <w:p w14:paraId="403DAE0C" w14:textId="77777777" w:rsidR="003225EF" w:rsidRPr="002B060A"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2B060A">
              <w:rPr>
                <w:rFonts w:ascii="Times New Roman" w:hAnsi="Times New Roman"/>
                <w:kern w:val="2"/>
                <w:sz w:val="22"/>
                <w:szCs w:val="22"/>
                <w:lang w:val="lt-LT" w:eastAsia="en-US"/>
              </w:rPr>
              <w:t>Teisės akto straipsnis, dalis, punktas</w:t>
            </w:r>
          </w:p>
        </w:tc>
        <w:tc>
          <w:tcPr>
            <w:tcW w:w="2865" w:type="dxa"/>
            <w:gridSpan w:val="3"/>
            <w:shd w:val="clear" w:color="auto" w:fill="FFFFFF"/>
            <w:hideMark/>
          </w:tcPr>
          <w:p w14:paraId="194AE305"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Atitikties įvertinimas</w:t>
            </w:r>
          </w:p>
        </w:tc>
        <w:tc>
          <w:tcPr>
            <w:tcW w:w="4394" w:type="dxa"/>
            <w:shd w:val="clear" w:color="auto" w:fill="FFFFFF"/>
            <w:hideMark/>
          </w:tcPr>
          <w:p w14:paraId="68F3F66E" w14:textId="77777777" w:rsidR="003225EF" w:rsidRPr="0068644D" w:rsidRDefault="003225EF" w:rsidP="00A96C1C">
            <w:pPr>
              <w:widowControl w:val="0"/>
              <w:shd w:val="clear" w:color="auto" w:fill="FFFFFF"/>
              <w:tabs>
                <w:tab w:val="left" w:pos="3512"/>
              </w:tabs>
              <w:spacing w:line="254" w:lineRule="auto"/>
              <w:jc w:val="center"/>
              <w:rPr>
                <w:rFonts w:ascii="Times New Roman" w:hAnsi="Times New Roman"/>
                <w:kern w:val="2"/>
                <w:sz w:val="22"/>
                <w:szCs w:val="22"/>
                <w:lang w:val="lt-LT" w:eastAsia="en-US"/>
              </w:rPr>
            </w:pPr>
            <w:r w:rsidRPr="0068644D">
              <w:rPr>
                <w:rFonts w:ascii="Times New Roman" w:hAnsi="Times New Roman"/>
                <w:spacing w:val="-2"/>
                <w:kern w:val="2"/>
                <w:sz w:val="22"/>
                <w:szCs w:val="22"/>
                <w:lang w:val="lt-LT" w:eastAsia="lt-LT"/>
              </w:rPr>
              <w:t>Pastabos</w:t>
            </w:r>
          </w:p>
        </w:tc>
      </w:tr>
      <w:tr w:rsidR="003225EF" w:rsidRPr="0068644D" w14:paraId="68FC4856" w14:textId="77777777" w:rsidTr="00A96C1C">
        <w:trPr>
          <w:cantSplit/>
          <w:trHeight w:val="22"/>
        </w:trPr>
        <w:tc>
          <w:tcPr>
            <w:tcW w:w="700" w:type="dxa"/>
            <w:vMerge/>
            <w:vAlign w:val="center"/>
            <w:hideMark/>
          </w:tcPr>
          <w:p w14:paraId="5ED4E30C" w14:textId="77777777" w:rsidR="003225EF" w:rsidRPr="0068644D" w:rsidRDefault="003225EF" w:rsidP="00A96C1C">
            <w:pPr>
              <w:spacing w:line="256" w:lineRule="auto"/>
              <w:rPr>
                <w:rFonts w:ascii="Times New Roman" w:hAnsi="Times New Roman"/>
                <w:kern w:val="2"/>
                <w:sz w:val="22"/>
                <w:szCs w:val="22"/>
                <w:lang w:val="lt-LT" w:eastAsia="en-US"/>
              </w:rPr>
            </w:pPr>
          </w:p>
        </w:tc>
        <w:tc>
          <w:tcPr>
            <w:tcW w:w="3660" w:type="dxa"/>
            <w:vMerge/>
            <w:vAlign w:val="center"/>
            <w:hideMark/>
          </w:tcPr>
          <w:p w14:paraId="281727FD" w14:textId="77777777" w:rsidR="003225EF" w:rsidRPr="0068644D" w:rsidRDefault="003225EF" w:rsidP="00A96C1C">
            <w:pPr>
              <w:spacing w:line="256" w:lineRule="auto"/>
              <w:rPr>
                <w:rFonts w:ascii="Times New Roman" w:hAnsi="Times New Roman"/>
                <w:kern w:val="2"/>
                <w:sz w:val="22"/>
                <w:szCs w:val="22"/>
                <w:lang w:val="lt-LT" w:eastAsia="en-US"/>
              </w:rPr>
            </w:pPr>
          </w:p>
        </w:tc>
        <w:tc>
          <w:tcPr>
            <w:tcW w:w="2880" w:type="dxa"/>
            <w:vMerge/>
            <w:vAlign w:val="center"/>
            <w:hideMark/>
          </w:tcPr>
          <w:p w14:paraId="1B65EC94" w14:textId="77777777" w:rsidR="003225EF" w:rsidRPr="002B060A" w:rsidRDefault="003225EF" w:rsidP="00A96C1C">
            <w:pPr>
              <w:spacing w:line="256" w:lineRule="auto"/>
              <w:rPr>
                <w:rFonts w:ascii="Times New Roman" w:hAnsi="Times New Roman"/>
                <w:kern w:val="2"/>
                <w:sz w:val="22"/>
                <w:szCs w:val="22"/>
                <w:lang w:val="lt-LT" w:eastAsia="en-US"/>
              </w:rPr>
            </w:pPr>
          </w:p>
        </w:tc>
        <w:tc>
          <w:tcPr>
            <w:tcW w:w="720" w:type="dxa"/>
            <w:shd w:val="clear" w:color="auto" w:fill="FFFFFF"/>
            <w:hideMark/>
          </w:tcPr>
          <w:p w14:paraId="3031B12C"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Taip</w:t>
            </w:r>
          </w:p>
        </w:tc>
        <w:tc>
          <w:tcPr>
            <w:tcW w:w="720" w:type="dxa"/>
            <w:shd w:val="clear" w:color="auto" w:fill="FFFFFF"/>
            <w:hideMark/>
          </w:tcPr>
          <w:p w14:paraId="7D66C2CB"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Ne</w:t>
            </w:r>
          </w:p>
        </w:tc>
        <w:tc>
          <w:tcPr>
            <w:tcW w:w="1425" w:type="dxa"/>
            <w:shd w:val="clear" w:color="auto" w:fill="FFFFFF"/>
            <w:hideMark/>
          </w:tcPr>
          <w:p w14:paraId="6A4BCF78" w14:textId="77777777" w:rsidR="003225EF" w:rsidRPr="0068644D" w:rsidRDefault="003225EF" w:rsidP="00A96C1C">
            <w:pPr>
              <w:widowControl w:val="0"/>
              <w:shd w:val="clear" w:color="auto" w:fill="FFFFFF"/>
              <w:spacing w:line="254" w:lineRule="auto"/>
              <w:jc w:val="center"/>
              <w:rPr>
                <w:rFonts w:ascii="Times New Roman" w:hAnsi="Times New Roman"/>
                <w:kern w:val="2"/>
                <w:sz w:val="22"/>
                <w:szCs w:val="22"/>
                <w:lang w:val="lt-LT" w:eastAsia="en-US"/>
              </w:rPr>
            </w:pPr>
            <w:r w:rsidRPr="0068644D">
              <w:rPr>
                <w:rFonts w:ascii="Times New Roman" w:hAnsi="Times New Roman"/>
                <w:kern w:val="2"/>
                <w:sz w:val="22"/>
                <w:szCs w:val="22"/>
                <w:lang w:val="lt-LT" w:eastAsia="en-US"/>
              </w:rPr>
              <w:t>Netaikoma/ Neaktualu</w:t>
            </w:r>
          </w:p>
        </w:tc>
        <w:tc>
          <w:tcPr>
            <w:tcW w:w="4394" w:type="dxa"/>
            <w:vAlign w:val="center"/>
          </w:tcPr>
          <w:p w14:paraId="796313D2" w14:textId="77777777" w:rsidR="003225EF" w:rsidRPr="0068644D" w:rsidRDefault="003225EF" w:rsidP="00A96C1C">
            <w:pPr>
              <w:spacing w:line="254" w:lineRule="auto"/>
              <w:ind w:left="115"/>
              <w:rPr>
                <w:rFonts w:ascii="Times New Roman" w:hAnsi="Times New Roman"/>
                <w:kern w:val="2"/>
                <w:sz w:val="22"/>
                <w:szCs w:val="22"/>
                <w:lang w:val="lt-LT" w:eastAsia="en-US"/>
              </w:rPr>
            </w:pPr>
          </w:p>
        </w:tc>
      </w:tr>
      <w:tr w:rsidR="003225EF" w:rsidRPr="0068644D" w14:paraId="2B3743DE" w14:textId="77777777" w:rsidTr="00A96C1C">
        <w:trPr>
          <w:cantSplit/>
          <w:trHeight w:val="22"/>
        </w:trPr>
        <w:tc>
          <w:tcPr>
            <w:tcW w:w="700" w:type="dxa"/>
          </w:tcPr>
          <w:p w14:paraId="316FFE8F"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1.</w:t>
            </w:r>
          </w:p>
        </w:tc>
        <w:tc>
          <w:tcPr>
            <w:tcW w:w="3660" w:type="dxa"/>
            <w:hideMark/>
          </w:tcPr>
          <w:p w14:paraId="30857C55"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F969F2">
              <w:rPr>
                <w:rFonts w:ascii="Times New Roman" w:hAnsi="Times New Roman"/>
                <w:sz w:val="22"/>
                <w:szCs w:val="22"/>
                <w:lang w:val="pt-BR" w:eastAsia="lt-LT"/>
              </w:rPr>
              <w:t>Ar pašarų ūkio subjektas yra patvirtintas ir (arba) registruotas ir vykdo įsakyme nurodytą (-as) veiklą (-as)?</w:t>
            </w:r>
          </w:p>
        </w:tc>
        <w:tc>
          <w:tcPr>
            <w:tcW w:w="2880" w:type="dxa"/>
          </w:tcPr>
          <w:p w14:paraId="0BFF8E31" w14:textId="77777777" w:rsidR="003225EF" w:rsidRPr="002B060A" w:rsidRDefault="003225EF" w:rsidP="00A96C1C">
            <w:pPr>
              <w:rPr>
                <w:rFonts w:ascii="Times New Roman" w:hAnsi="Times New Roman"/>
                <w:sz w:val="22"/>
                <w:szCs w:val="22"/>
                <w:lang w:eastAsia="lt-LT"/>
              </w:rPr>
            </w:pPr>
            <w:hyperlink r:id="rId5"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Pr>
                <w:rFonts w:ascii="Times New Roman" w:hAnsi="Times New Roman"/>
                <w:sz w:val="22"/>
                <w:szCs w:val="22"/>
                <w:lang w:eastAsia="lt-LT"/>
              </w:rPr>
              <w:t xml:space="preserve">9, 10, </w:t>
            </w:r>
            <w:r w:rsidRPr="002B060A">
              <w:rPr>
                <w:rFonts w:ascii="Times New Roman" w:hAnsi="Times New Roman"/>
                <w:sz w:val="22"/>
                <w:szCs w:val="22"/>
                <w:lang w:eastAsia="lt-LT"/>
              </w:rPr>
              <w:t>11 straip</w:t>
            </w:r>
            <w:r>
              <w:rPr>
                <w:rFonts w:ascii="Times New Roman" w:hAnsi="Times New Roman"/>
                <w:sz w:val="22"/>
                <w:szCs w:val="22"/>
                <w:lang w:eastAsia="lt-LT"/>
              </w:rPr>
              <w:t>s</w:t>
            </w:r>
            <w:r w:rsidRPr="002B060A">
              <w:rPr>
                <w:rFonts w:ascii="Times New Roman" w:hAnsi="Times New Roman"/>
                <w:sz w:val="22"/>
                <w:szCs w:val="22"/>
                <w:lang w:eastAsia="lt-LT"/>
              </w:rPr>
              <w:t>ni</w:t>
            </w:r>
            <w:r>
              <w:rPr>
                <w:rFonts w:ascii="Times New Roman" w:hAnsi="Times New Roman"/>
                <w:sz w:val="22"/>
                <w:szCs w:val="22"/>
                <w:lang w:eastAsia="lt-LT"/>
              </w:rPr>
              <w:t>ai</w:t>
            </w:r>
            <w:r w:rsidRPr="002B060A">
              <w:rPr>
                <w:rFonts w:ascii="Times New Roman" w:hAnsi="Times New Roman"/>
                <w:sz w:val="22"/>
                <w:szCs w:val="22"/>
                <w:lang w:eastAsia="lt-LT"/>
              </w:rPr>
              <w:t xml:space="preserve">; </w:t>
            </w:r>
          </w:p>
          <w:p w14:paraId="65FEA1F3" w14:textId="77777777" w:rsidR="003225EF" w:rsidRPr="002B060A" w:rsidRDefault="003225EF" w:rsidP="00A96C1C">
            <w:pPr>
              <w:rPr>
                <w:rFonts w:ascii="Times New Roman" w:hAnsi="Times New Roman"/>
                <w:sz w:val="22"/>
                <w:szCs w:val="22"/>
                <w:lang w:eastAsia="lt-LT"/>
              </w:rPr>
            </w:pPr>
            <w:r w:rsidRPr="004E44B0">
              <w:rPr>
                <w:rFonts w:ascii="Times New Roman" w:hAnsi="Times New Roman"/>
                <w:sz w:val="22"/>
                <w:szCs w:val="22"/>
                <w:lang w:eastAsia="lt-LT"/>
              </w:rPr>
              <w:t>[</w:t>
            </w:r>
            <w:r>
              <w:fldChar w:fldCharType="begin"/>
            </w:r>
            <w:r>
              <w:instrText>HYPERLINK "https://www.e-tar.lt/portal/lt/legalAct/TAR.5B55C0654B4A/IoPylcMuKu"</w:instrText>
            </w:r>
            <w:r>
              <w:fldChar w:fldCharType="separate"/>
            </w:r>
            <w:r w:rsidRPr="004E44B0">
              <w:rPr>
                <w:rStyle w:val="Hyperlink"/>
                <w:rFonts w:ascii="Times New Roman" w:eastAsiaTheme="majorEastAsia" w:hAnsi="Times New Roman"/>
                <w:sz w:val="22"/>
                <w:szCs w:val="22"/>
                <w:lang w:eastAsia="lt-LT"/>
              </w:rPr>
              <w:t>4]</w:t>
            </w:r>
            <w:r>
              <w:fldChar w:fldCharType="end"/>
            </w:r>
            <w:r w:rsidRPr="002B060A">
              <w:rPr>
                <w:rFonts w:ascii="Times New Roman" w:hAnsi="Times New Roman"/>
                <w:sz w:val="22"/>
                <w:szCs w:val="22"/>
                <w:lang w:eastAsia="lt-LT"/>
              </w:rPr>
              <w:t xml:space="preserve"> </w:t>
            </w:r>
            <w:r>
              <w:rPr>
                <w:rFonts w:ascii="Times New Roman" w:hAnsi="Times New Roman"/>
                <w:sz w:val="22"/>
                <w:szCs w:val="22"/>
                <w:lang w:eastAsia="lt-LT"/>
              </w:rPr>
              <w:t xml:space="preserve">6 straipsnio 1-2 dalys, 7 </w:t>
            </w:r>
            <w:r w:rsidRPr="002B060A">
              <w:rPr>
                <w:rFonts w:ascii="Times New Roman" w:hAnsi="Times New Roman"/>
                <w:sz w:val="22"/>
                <w:szCs w:val="22"/>
                <w:lang w:eastAsia="lt-LT"/>
              </w:rPr>
              <w:t xml:space="preserve">straipsnio 3 dalis; </w:t>
            </w:r>
          </w:p>
          <w:p w14:paraId="7497D14C" w14:textId="77777777" w:rsidR="003225EF" w:rsidRPr="002B060A" w:rsidRDefault="003225EF" w:rsidP="00A96C1C">
            <w:pPr>
              <w:widowControl w:val="0"/>
              <w:shd w:val="clear" w:color="auto" w:fill="FFFFFF"/>
              <w:spacing w:line="254" w:lineRule="auto"/>
              <w:rPr>
                <w:rFonts w:ascii="Times New Roman" w:hAnsi="Times New Roman"/>
                <w:sz w:val="22"/>
                <w:szCs w:val="22"/>
                <w:lang w:val="lt-LT" w:eastAsia="en-US"/>
              </w:rPr>
            </w:pPr>
            <w:hyperlink r:id="rId6" w:history="1">
              <w:r w:rsidRPr="00C72C2F">
                <w:rPr>
                  <w:rStyle w:val="Hyperlink"/>
                  <w:rFonts w:ascii="Times New Roman" w:eastAsiaTheme="majorEastAsia" w:hAnsi="Times New Roman"/>
                  <w:sz w:val="22"/>
                  <w:szCs w:val="22"/>
                  <w:lang w:eastAsia="lt-LT"/>
                </w:rPr>
                <w:t>[5]</w:t>
              </w:r>
            </w:hyperlink>
            <w:r w:rsidRPr="002B060A">
              <w:rPr>
                <w:rFonts w:ascii="Times New Roman" w:hAnsi="Times New Roman"/>
                <w:sz w:val="22"/>
                <w:szCs w:val="22"/>
                <w:lang w:eastAsia="lt-LT"/>
              </w:rPr>
              <w:t xml:space="preserve"> 3 punktas</w:t>
            </w:r>
          </w:p>
        </w:tc>
        <w:tc>
          <w:tcPr>
            <w:tcW w:w="720" w:type="dxa"/>
            <w:shd w:val="clear" w:color="auto" w:fill="FFFFFF"/>
          </w:tcPr>
          <w:p w14:paraId="7F4551A2"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2159ABF7"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0826DCCE"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hideMark/>
          </w:tcPr>
          <w:p w14:paraId="55F1758B" w14:textId="77777777" w:rsidR="003225EF" w:rsidRDefault="003225EF" w:rsidP="00A96C1C">
            <w:pPr>
              <w:widowControl w:val="0"/>
              <w:shd w:val="clear" w:color="auto" w:fill="FFFFFF"/>
              <w:spacing w:line="254" w:lineRule="auto"/>
              <w:rPr>
                <w:rFonts w:ascii="Times New Roman" w:hAnsi="Times New Roman"/>
                <w:color w:val="215E99"/>
                <w:kern w:val="2"/>
                <w:sz w:val="22"/>
                <w:szCs w:val="22"/>
                <w:lang w:val="lt-LT" w:eastAsia="en-US"/>
              </w:rPr>
            </w:pPr>
          </w:p>
        </w:tc>
      </w:tr>
      <w:tr w:rsidR="003225EF" w:rsidRPr="003E3BB7" w14:paraId="3ED59B66" w14:textId="77777777" w:rsidTr="00A96C1C">
        <w:trPr>
          <w:cantSplit/>
          <w:trHeight w:val="22"/>
        </w:trPr>
        <w:tc>
          <w:tcPr>
            <w:tcW w:w="700" w:type="dxa"/>
          </w:tcPr>
          <w:p w14:paraId="0233647C"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2.</w:t>
            </w:r>
          </w:p>
        </w:tc>
        <w:tc>
          <w:tcPr>
            <w:tcW w:w="3660" w:type="dxa"/>
          </w:tcPr>
          <w:p w14:paraId="08A28B71"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F969F2">
              <w:rPr>
                <w:rFonts w:ascii="Times New Roman" w:hAnsi="Times New Roman"/>
                <w:sz w:val="22"/>
                <w:szCs w:val="22"/>
                <w:lang w:val="pt-BR" w:eastAsia="lt-LT"/>
              </w:rPr>
              <w:t>Ar dirbantis personalas yra susipažinęs su savo funkcijomis ir pareigomis bei yra kvalifikuotas?</w:t>
            </w:r>
          </w:p>
        </w:tc>
        <w:tc>
          <w:tcPr>
            <w:tcW w:w="2880" w:type="dxa"/>
          </w:tcPr>
          <w:p w14:paraId="5ECC2FD7"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hyperlink r:id="rId7"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2918FE7E">
              <w:rPr>
                <w:rFonts w:ascii="Times New Roman" w:hAnsi="Times New Roman"/>
                <w:sz w:val="22"/>
                <w:szCs w:val="22"/>
                <w:lang w:eastAsia="lt-LT"/>
              </w:rPr>
              <w:t xml:space="preserve">II priedo skyrius </w:t>
            </w:r>
            <w:r w:rsidRPr="2918FE7E">
              <w:rPr>
                <w:rFonts w:ascii="Times New Roman" w:hAnsi="Times New Roman"/>
                <w:sz w:val="24"/>
                <w:szCs w:val="24"/>
                <w:lang w:val="lt-LT"/>
              </w:rPr>
              <w:t>„</w:t>
            </w:r>
            <w:r w:rsidRPr="2918FE7E">
              <w:rPr>
                <w:rFonts w:ascii="Times New Roman" w:hAnsi="Times New Roman"/>
                <w:sz w:val="22"/>
                <w:szCs w:val="22"/>
                <w:lang w:eastAsia="lt-LT"/>
              </w:rPr>
              <w:t>Personalas</w:t>
            </w:r>
            <w:r w:rsidRPr="2918FE7E">
              <w:rPr>
                <w:rFonts w:ascii="Times New Roman" w:hAnsi="Times New Roman"/>
                <w:sz w:val="24"/>
                <w:szCs w:val="24"/>
                <w:lang w:val="lt-LT"/>
              </w:rPr>
              <w:t>“</w:t>
            </w:r>
            <w:r w:rsidRPr="2918FE7E">
              <w:rPr>
                <w:rFonts w:ascii="Times New Roman" w:hAnsi="Times New Roman"/>
                <w:sz w:val="22"/>
                <w:szCs w:val="22"/>
                <w:lang w:eastAsia="lt-LT"/>
              </w:rPr>
              <w:t xml:space="preserve"> </w:t>
            </w:r>
          </w:p>
        </w:tc>
        <w:tc>
          <w:tcPr>
            <w:tcW w:w="720" w:type="dxa"/>
            <w:shd w:val="clear" w:color="auto" w:fill="FFFFFF"/>
          </w:tcPr>
          <w:p w14:paraId="5A542802"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698FA845"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47374D36"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2F99EAE8" w14:textId="77777777" w:rsidR="003225EF" w:rsidRPr="00B37C29" w:rsidRDefault="003225EF"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Turi būti parengta organizacinė schema, kurioje būtų nurodyta vadovaujančio personalo kvalifikacija ir pareigos, ir su ja supažindintas personalas. Turėtų būti pateikti pvz. vidinius ir (arba) išorinius mokymus, profesinę patirtį patvirtinantys dokumentai.</w:t>
            </w:r>
            <w:r w:rsidRPr="00B37C29">
              <w:rPr>
                <w:rFonts w:ascii="Times New Roman" w:hAnsi="Times New Roman"/>
                <w:color w:val="215E99"/>
                <w:sz w:val="22"/>
                <w:szCs w:val="22"/>
                <w:lang w:val="lt-LT"/>
              </w:rPr>
              <w:t>]</w:t>
            </w:r>
          </w:p>
        </w:tc>
      </w:tr>
      <w:tr w:rsidR="003225EF" w:rsidRPr="003E3BB7" w14:paraId="1E6912BC" w14:textId="77777777" w:rsidTr="00A96C1C">
        <w:trPr>
          <w:cantSplit/>
          <w:trHeight w:val="22"/>
        </w:trPr>
        <w:tc>
          <w:tcPr>
            <w:tcW w:w="700" w:type="dxa"/>
          </w:tcPr>
          <w:p w14:paraId="23B77F15"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3.</w:t>
            </w:r>
          </w:p>
        </w:tc>
        <w:tc>
          <w:tcPr>
            <w:tcW w:w="3660" w:type="dxa"/>
          </w:tcPr>
          <w:p w14:paraId="5193191A"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A015F7">
              <w:rPr>
                <w:rFonts w:ascii="Times New Roman" w:hAnsi="Times New Roman"/>
                <w:kern w:val="2"/>
                <w:sz w:val="22"/>
                <w:szCs w:val="22"/>
                <w:lang w:val="lt-LT"/>
              </w:rPr>
              <w:t>Ar atsaking</w:t>
            </w:r>
            <w:r>
              <w:rPr>
                <w:rFonts w:ascii="Times New Roman" w:hAnsi="Times New Roman"/>
                <w:kern w:val="2"/>
                <w:sz w:val="22"/>
                <w:szCs w:val="22"/>
                <w:lang w:val="lt-LT"/>
              </w:rPr>
              <w:t>u</w:t>
            </w:r>
            <w:r w:rsidRPr="00A015F7">
              <w:rPr>
                <w:rFonts w:ascii="Times New Roman" w:hAnsi="Times New Roman"/>
                <w:kern w:val="2"/>
                <w:sz w:val="22"/>
                <w:szCs w:val="22"/>
                <w:shd w:val="clear" w:color="auto" w:fill="FFFFFF"/>
                <w:lang w:val="lt-LT"/>
              </w:rPr>
              <w:t xml:space="preserve"> už kokybės kontrolę</w:t>
            </w:r>
            <w:r w:rsidRPr="00A015F7">
              <w:rPr>
                <w:rFonts w:ascii="Times New Roman" w:hAnsi="Times New Roman"/>
                <w:kern w:val="2"/>
                <w:sz w:val="22"/>
                <w:szCs w:val="22"/>
                <w:lang w:val="lt-LT"/>
              </w:rPr>
              <w:t xml:space="preserve"> paskirtas </w:t>
            </w:r>
            <w:r>
              <w:rPr>
                <w:rFonts w:ascii="Times New Roman" w:hAnsi="Times New Roman"/>
                <w:kern w:val="2"/>
                <w:sz w:val="22"/>
                <w:szCs w:val="22"/>
                <w:lang w:val="lt-LT"/>
              </w:rPr>
              <w:t xml:space="preserve">kvalifikuotas </w:t>
            </w:r>
            <w:r w:rsidRPr="00A015F7">
              <w:rPr>
                <w:rFonts w:ascii="Times New Roman" w:hAnsi="Times New Roman"/>
                <w:kern w:val="2"/>
                <w:sz w:val="22"/>
                <w:szCs w:val="22"/>
                <w:lang w:val="lt-LT"/>
              </w:rPr>
              <w:t>asmuo</w:t>
            </w:r>
            <w:r w:rsidRPr="00A015F7">
              <w:rPr>
                <w:rFonts w:ascii="Times New Roman" w:hAnsi="Times New Roman"/>
                <w:kern w:val="2"/>
                <w:sz w:val="22"/>
                <w:szCs w:val="22"/>
                <w:shd w:val="clear" w:color="auto" w:fill="FFFFFF"/>
                <w:lang w:val="lt-LT"/>
              </w:rPr>
              <w:t>?</w:t>
            </w:r>
          </w:p>
        </w:tc>
        <w:tc>
          <w:tcPr>
            <w:tcW w:w="2880" w:type="dxa"/>
          </w:tcPr>
          <w:p w14:paraId="1336D76F" w14:textId="77777777" w:rsidR="003225EF" w:rsidRPr="00F969F2" w:rsidRDefault="003225EF" w:rsidP="00A96C1C">
            <w:pPr>
              <w:widowControl w:val="0"/>
              <w:shd w:val="clear" w:color="auto" w:fill="FFFFFF"/>
              <w:spacing w:line="254" w:lineRule="auto"/>
              <w:rPr>
                <w:rFonts w:ascii="Times New Roman" w:hAnsi="Times New Roman"/>
                <w:kern w:val="2"/>
                <w:sz w:val="22"/>
                <w:szCs w:val="22"/>
                <w:lang w:val="lt-LT" w:eastAsia="en-US"/>
              </w:rPr>
            </w:pPr>
            <w:hyperlink r:id="rId8"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lt-LT"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lt-LT" w:eastAsia="lt-LT"/>
              </w:rPr>
              <w:t>Kokybės kontrolė</w:t>
            </w:r>
            <w:r w:rsidRPr="2918FE7E">
              <w:rPr>
                <w:rFonts w:ascii="Times New Roman" w:hAnsi="Times New Roman"/>
                <w:sz w:val="24"/>
                <w:szCs w:val="24"/>
                <w:lang w:val="lt-LT"/>
              </w:rPr>
              <w:t>“</w:t>
            </w:r>
            <w:r w:rsidRPr="00F969F2">
              <w:rPr>
                <w:rFonts w:ascii="Times New Roman" w:hAnsi="Times New Roman"/>
                <w:sz w:val="22"/>
                <w:szCs w:val="22"/>
                <w:lang w:val="lt-LT" w:eastAsia="lt-LT"/>
              </w:rPr>
              <w:t xml:space="preserve"> 1 dalis</w:t>
            </w:r>
          </w:p>
        </w:tc>
        <w:tc>
          <w:tcPr>
            <w:tcW w:w="720" w:type="dxa"/>
            <w:shd w:val="clear" w:color="auto" w:fill="FFFFFF"/>
          </w:tcPr>
          <w:p w14:paraId="39F380C3"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4D9F7E99"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AC8918A"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7B8452CA"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Kokybės kontrolė – tai saugumas ir kokybė kartu.</w:t>
            </w:r>
            <w:r w:rsidRPr="00B37C29">
              <w:rPr>
                <w:rFonts w:ascii="Times New Roman" w:hAnsi="Times New Roman"/>
                <w:color w:val="215E99"/>
                <w:sz w:val="22"/>
                <w:szCs w:val="22"/>
                <w:lang w:val="lt-LT"/>
              </w:rPr>
              <w:t>]</w:t>
            </w:r>
          </w:p>
        </w:tc>
      </w:tr>
      <w:tr w:rsidR="003225EF" w:rsidRPr="003E3BB7" w14:paraId="6D70B596" w14:textId="77777777" w:rsidTr="00A96C1C">
        <w:trPr>
          <w:cantSplit/>
          <w:trHeight w:val="22"/>
        </w:trPr>
        <w:tc>
          <w:tcPr>
            <w:tcW w:w="700" w:type="dxa"/>
          </w:tcPr>
          <w:p w14:paraId="400079CF"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4.</w:t>
            </w:r>
          </w:p>
        </w:tc>
        <w:tc>
          <w:tcPr>
            <w:tcW w:w="3660" w:type="dxa"/>
          </w:tcPr>
          <w:p w14:paraId="6D4DC6EC" w14:textId="77777777" w:rsidR="003225EF" w:rsidRPr="0068644D" w:rsidRDefault="003225EF" w:rsidP="00A96C1C">
            <w:pPr>
              <w:jc w:val="both"/>
              <w:rPr>
                <w:rFonts w:ascii="Times New Roman" w:hAnsi="Times New Roman"/>
                <w:sz w:val="22"/>
                <w:szCs w:val="22"/>
              </w:rPr>
            </w:pPr>
            <w:r w:rsidRPr="0068644D">
              <w:rPr>
                <w:rFonts w:ascii="Times New Roman" w:hAnsi="Times New Roman"/>
                <w:sz w:val="22"/>
                <w:szCs w:val="22"/>
                <w:lang w:eastAsia="lt-LT"/>
              </w:rPr>
              <w:t>Ar yra rašytinis kokybės kontrolės planas, pateikti dokumentai, įrodantys jo įgyvendinimą?</w:t>
            </w:r>
          </w:p>
          <w:p w14:paraId="5BD54BEF"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p>
        </w:tc>
        <w:tc>
          <w:tcPr>
            <w:tcW w:w="2880" w:type="dxa"/>
          </w:tcPr>
          <w:p w14:paraId="20CF07F0"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hyperlink r:id="rId9" w:history="1">
              <w:r w:rsidRPr="00C72C2F">
                <w:rPr>
                  <w:rStyle w:val="Hyperlink"/>
                  <w:rFonts w:ascii="Times New Roman" w:eastAsiaTheme="majorEastAsia" w:hAnsi="Times New Roman"/>
                  <w:sz w:val="22"/>
                  <w:szCs w:val="22"/>
                  <w:lang w:eastAsia="lt-LT"/>
                </w:rPr>
                <w:t>[3]</w:t>
              </w:r>
            </w:hyperlink>
            <w:r w:rsidRPr="00F969F2">
              <w:rPr>
                <w:rFonts w:ascii="Times New Roman" w:hAnsi="Times New Roman"/>
                <w:sz w:val="22"/>
                <w:szCs w:val="22"/>
                <w:lang w:val="lt-LT" w:eastAsia="lt-LT"/>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lt-LT" w:eastAsia="lt-LT"/>
              </w:rPr>
              <w:t>Kokybės kontrolė</w:t>
            </w:r>
            <w:r w:rsidRPr="2918FE7E">
              <w:rPr>
                <w:rFonts w:ascii="Times New Roman" w:hAnsi="Times New Roman"/>
                <w:sz w:val="24"/>
                <w:szCs w:val="24"/>
                <w:lang w:val="lt-LT"/>
              </w:rPr>
              <w:t>“</w:t>
            </w:r>
            <w:r w:rsidRPr="00F969F2">
              <w:rPr>
                <w:rFonts w:ascii="Times New Roman" w:hAnsi="Times New Roman"/>
                <w:sz w:val="22"/>
                <w:szCs w:val="22"/>
                <w:lang w:val="lt-LT" w:eastAsia="lt-LT"/>
              </w:rPr>
              <w:t xml:space="preserve"> 2, 3 dalys</w:t>
            </w:r>
          </w:p>
        </w:tc>
        <w:tc>
          <w:tcPr>
            <w:tcW w:w="720" w:type="dxa"/>
            <w:shd w:val="clear" w:color="auto" w:fill="FFFFFF"/>
          </w:tcPr>
          <w:p w14:paraId="41703C2F"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09C1A12F"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64512DD6"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19585990"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Kontrolės plane turi būti kritinių gamybos proceso taškų patikrinimai, mėginių ėmimo procedūros ir dažnumas, analizės metodai ir jų dažnumas, atitiktis specifikacijoms ir paskirties vieta neatitikties atveju nuo perdirbtų medžiagų iki galutinių produktų.</w:t>
            </w:r>
            <w:r w:rsidRPr="00B37C29">
              <w:rPr>
                <w:rFonts w:ascii="Times New Roman" w:hAnsi="Times New Roman"/>
                <w:color w:val="215E99"/>
                <w:sz w:val="22"/>
                <w:szCs w:val="22"/>
                <w:lang w:val="lt-LT"/>
              </w:rPr>
              <w:t>]</w:t>
            </w:r>
          </w:p>
        </w:tc>
      </w:tr>
      <w:tr w:rsidR="003225EF" w:rsidRPr="003E3BB7" w14:paraId="6A9612D4" w14:textId="77777777" w:rsidTr="00A96C1C">
        <w:trPr>
          <w:cantSplit/>
          <w:trHeight w:val="22"/>
        </w:trPr>
        <w:tc>
          <w:tcPr>
            <w:tcW w:w="700" w:type="dxa"/>
          </w:tcPr>
          <w:p w14:paraId="17F33840"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5.</w:t>
            </w:r>
          </w:p>
        </w:tc>
        <w:tc>
          <w:tcPr>
            <w:tcW w:w="3660" w:type="dxa"/>
          </w:tcPr>
          <w:p w14:paraId="68C1B35C" w14:textId="77777777" w:rsidR="003225EF" w:rsidRPr="00F969F2" w:rsidRDefault="003225EF" w:rsidP="00A96C1C">
            <w:pPr>
              <w:jc w:val="both"/>
              <w:rPr>
                <w:rFonts w:ascii="Times New Roman" w:hAnsi="Times New Roman"/>
                <w:sz w:val="22"/>
                <w:szCs w:val="22"/>
                <w:lang w:val="pt-BR" w:eastAsia="lt-LT"/>
              </w:rPr>
            </w:pPr>
            <w:r w:rsidRPr="00F969F2">
              <w:rPr>
                <w:rFonts w:ascii="Times New Roman" w:hAnsi="Times New Roman"/>
                <w:sz w:val="22"/>
                <w:szCs w:val="22"/>
                <w:lang w:val="pt-BR" w:eastAsia="lt-LT"/>
              </w:rPr>
              <w:t>Ar registruojami ir saugomi duomenys, susiję su pašarų atsekamumu?</w:t>
            </w:r>
          </w:p>
          <w:p w14:paraId="6A0AAE88"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lt-LT"/>
              </w:rPr>
            </w:pPr>
          </w:p>
        </w:tc>
        <w:tc>
          <w:tcPr>
            <w:tcW w:w="2880" w:type="dxa"/>
          </w:tcPr>
          <w:p w14:paraId="36D676A4" w14:textId="77777777" w:rsidR="003225EF" w:rsidRDefault="003225EF" w:rsidP="00A96C1C">
            <w:hyperlink r:id="rId10" w:history="1">
              <w:r w:rsidRPr="00C72C2F">
                <w:rPr>
                  <w:rStyle w:val="Hyperlink"/>
                  <w:rFonts w:ascii="Times New Roman" w:eastAsiaTheme="majorEastAsia" w:hAnsi="Times New Roman"/>
                  <w:sz w:val="22"/>
                  <w:szCs w:val="22"/>
                  <w:lang w:val="lt-LT" w:eastAsia="lt-LT"/>
                </w:rPr>
                <w:t>[1]</w:t>
              </w:r>
            </w:hyperlink>
            <w:r w:rsidRPr="00B37C29">
              <w:rPr>
                <w:rFonts w:ascii="Times New Roman" w:hAnsi="Times New Roman"/>
                <w:sz w:val="22"/>
                <w:szCs w:val="22"/>
                <w:lang w:val="lt-LT" w:eastAsia="lt-LT"/>
              </w:rPr>
              <w:t xml:space="preserve"> </w:t>
            </w:r>
            <w:r w:rsidRPr="00322FE6">
              <w:rPr>
                <w:rFonts w:ascii="Times New Roman" w:hAnsi="Times New Roman"/>
                <w:kern w:val="2"/>
                <w:sz w:val="22"/>
                <w:szCs w:val="22"/>
                <w:lang w:val="lt-LT" w:eastAsia="lt-LT"/>
              </w:rPr>
              <w:t xml:space="preserve">IV priedo III skyriaus B skirsnio 2 dalies b punktas, IV skyriaus D skirsnio d punkto i papunkčio trečia įtrauka, E skirsnio d punkto iii papunktis, </w:t>
            </w:r>
            <w:r w:rsidRPr="00322FE6">
              <w:rPr>
                <w:rFonts w:ascii="Times New Roman" w:hAnsi="Times New Roman"/>
                <w:kern w:val="2"/>
                <w:sz w:val="22"/>
                <w:szCs w:val="22"/>
                <w:shd w:val="clear" w:color="auto" w:fill="FFFFFF"/>
                <w:lang w:val="lt-LT"/>
              </w:rPr>
              <w:t>F skirsnio b punkto</w:t>
            </w:r>
            <w:r w:rsidRPr="00322FE6">
              <w:rPr>
                <w:rFonts w:ascii="Times New Roman" w:hAnsi="Times New Roman"/>
                <w:kern w:val="2"/>
                <w:sz w:val="22"/>
                <w:szCs w:val="22"/>
                <w:lang w:val="lt-LT" w:eastAsia="lt-LT"/>
              </w:rPr>
              <w:t xml:space="preserve"> trečios pastraipos trečia įtrauka</w:t>
            </w:r>
            <w:r w:rsidRPr="00322FE6">
              <w:rPr>
                <w:rFonts w:ascii="Times New Roman" w:hAnsi="Times New Roman"/>
                <w:kern w:val="2"/>
                <w:sz w:val="22"/>
                <w:szCs w:val="22"/>
                <w:shd w:val="clear" w:color="auto" w:fill="FFFFFF"/>
                <w:lang w:val="lt-LT"/>
              </w:rPr>
              <w:t xml:space="preserve">, G skirsnio </w:t>
            </w:r>
            <w:r w:rsidRPr="00322FE6">
              <w:rPr>
                <w:rFonts w:ascii="Times New Roman" w:hAnsi="Times New Roman"/>
                <w:kern w:val="2"/>
                <w:sz w:val="22"/>
                <w:szCs w:val="22"/>
                <w:lang w:val="lt-LT" w:eastAsia="lt-LT"/>
              </w:rPr>
              <w:t xml:space="preserve">d punkto trečios </w:t>
            </w:r>
            <w:r w:rsidRPr="00322FE6">
              <w:rPr>
                <w:rFonts w:ascii="Times New Roman" w:hAnsi="Times New Roman"/>
                <w:kern w:val="2"/>
                <w:sz w:val="22"/>
                <w:szCs w:val="22"/>
                <w:lang w:val="lt-LT" w:eastAsia="lt-LT"/>
              </w:rPr>
              <w:lastRenderedPageBreak/>
              <w:t xml:space="preserve">pastraipos trečia įtrauka, </w:t>
            </w:r>
            <w:r w:rsidRPr="00322FE6">
              <w:rPr>
                <w:rFonts w:ascii="Times New Roman" w:hAnsi="Times New Roman"/>
                <w:kern w:val="2"/>
                <w:sz w:val="22"/>
                <w:szCs w:val="22"/>
                <w:shd w:val="clear" w:color="auto" w:fill="FFFFFF"/>
                <w:lang w:val="lt-LT"/>
              </w:rPr>
              <w:t xml:space="preserve">H skirsnio d punkto </w:t>
            </w:r>
            <w:r w:rsidRPr="00322FE6">
              <w:rPr>
                <w:rFonts w:ascii="Times New Roman" w:hAnsi="Times New Roman"/>
                <w:kern w:val="2"/>
                <w:sz w:val="22"/>
                <w:szCs w:val="22"/>
                <w:lang w:val="lt-LT" w:eastAsia="lt-LT"/>
              </w:rPr>
              <w:t>trečios pastraipos trečia įtrauka</w:t>
            </w:r>
            <w:r>
              <w:t xml:space="preserve"> </w:t>
            </w:r>
          </w:p>
          <w:p w14:paraId="5C92463F" w14:textId="77777777" w:rsidR="003225EF" w:rsidRPr="00B37C29" w:rsidRDefault="003225EF" w:rsidP="00A96C1C">
            <w:pPr>
              <w:rPr>
                <w:rFonts w:ascii="Times New Roman" w:hAnsi="Times New Roman"/>
                <w:sz w:val="22"/>
                <w:szCs w:val="22"/>
                <w:lang w:val="lt-LT" w:eastAsia="lt-LT"/>
              </w:rPr>
            </w:pPr>
            <w:hyperlink r:id="rId11" w:history="1">
              <w:r w:rsidRPr="007624BA">
                <w:rPr>
                  <w:rStyle w:val="Hyperlink"/>
                  <w:rFonts w:ascii="Times New Roman" w:eastAsiaTheme="majorEastAsia" w:hAnsi="Times New Roman"/>
                  <w:sz w:val="22"/>
                  <w:szCs w:val="22"/>
                  <w:lang w:val="lt-LT" w:eastAsia="lt-LT"/>
                </w:rPr>
                <w:t>[2]</w:t>
              </w:r>
            </w:hyperlink>
            <w:r w:rsidRPr="00B37C29">
              <w:rPr>
                <w:rFonts w:ascii="Times New Roman" w:hAnsi="Times New Roman"/>
                <w:sz w:val="22"/>
                <w:szCs w:val="22"/>
                <w:lang w:val="lt-LT" w:eastAsia="lt-LT"/>
              </w:rPr>
              <w:t xml:space="preserve"> 18 straipsnio 1-3 dalys;</w:t>
            </w:r>
          </w:p>
          <w:p w14:paraId="729DC277" w14:textId="77777777" w:rsidR="003225EF" w:rsidRPr="00B37C29" w:rsidRDefault="003225EF" w:rsidP="00A96C1C">
            <w:pPr>
              <w:rPr>
                <w:rFonts w:ascii="Times New Roman" w:hAnsi="Times New Roman"/>
                <w:sz w:val="22"/>
                <w:szCs w:val="22"/>
                <w:lang w:val="lt-LT" w:eastAsia="lt-LT"/>
              </w:rPr>
            </w:pPr>
            <w:hyperlink r:id="rId12"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B37C29">
              <w:rPr>
                <w:rFonts w:ascii="Times New Roman" w:hAnsi="Times New Roman"/>
                <w:sz w:val="22"/>
                <w:szCs w:val="22"/>
                <w:lang w:val="lt-LT" w:eastAsia="lt-LT"/>
              </w:rPr>
              <w:t xml:space="preserve">II priedo skyriaus </w:t>
            </w:r>
            <w:r w:rsidRPr="2918FE7E">
              <w:rPr>
                <w:rFonts w:ascii="Times New Roman" w:hAnsi="Times New Roman"/>
                <w:sz w:val="24"/>
                <w:szCs w:val="24"/>
                <w:lang w:val="lt-LT"/>
              </w:rPr>
              <w:t>„</w:t>
            </w:r>
            <w:r w:rsidRPr="00B37C29">
              <w:rPr>
                <w:rFonts w:ascii="Times New Roman" w:hAnsi="Times New Roman"/>
                <w:sz w:val="22"/>
                <w:szCs w:val="22"/>
                <w:lang w:val="lt-LT" w:eastAsia="lt-LT"/>
              </w:rPr>
              <w:t>Produkcija</w:t>
            </w:r>
            <w:r w:rsidRPr="2918FE7E">
              <w:rPr>
                <w:rFonts w:ascii="Times New Roman" w:hAnsi="Times New Roman"/>
                <w:sz w:val="24"/>
                <w:szCs w:val="24"/>
                <w:lang w:val="lt-LT"/>
              </w:rPr>
              <w:t>“</w:t>
            </w:r>
            <w:r>
              <w:rPr>
                <w:rFonts w:ascii="Times New Roman" w:hAnsi="Times New Roman"/>
                <w:sz w:val="24"/>
                <w:szCs w:val="24"/>
                <w:lang w:val="lt-LT"/>
              </w:rPr>
              <w:t xml:space="preserve"> </w:t>
            </w:r>
            <w:r w:rsidRPr="00B37C29">
              <w:rPr>
                <w:rFonts w:ascii="Times New Roman" w:hAnsi="Times New Roman"/>
                <w:sz w:val="22"/>
                <w:szCs w:val="22"/>
                <w:lang w:val="lt-LT" w:eastAsia="lt-LT"/>
              </w:rPr>
              <w:t xml:space="preserve">6 dalis, skyriaus </w:t>
            </w:r>
            <w:r w:rsidRPr="2918FE7E">
              <w:rPr>
                <w:rFonts w:ascii="Times New Roman" w:hAnsi="Times New Roman"/>
                <w:sz w:val="24"/>
                <w:szCs w:val="24"/>
                <w:lang w:val="lt-LT"/>
              </w:rPr>
              <w:t>„</w:t>
            </w:r>
            <w:r>
              <w:rPr>
                <w:rFonts w:ascii="Times New Roman" w:hAnsi="Times New Roman"/>
                <w:sz w:val="24"/>
                <w:szCs w:val="24"/>
                <w:lang w:val="lt-LT"/>
              </w:rPr>
              <w:t>A</w:t>
            </w:r>
            <w:r w:rsidRPr="00B37C29">
              <w:rPr>
                <w:rFonts w:ascii="Times New Roman" w:hAnsi="Times New Roman"/>
                <w:sz w:val="22"/>
                <w:szCs w:val="22"/>
                <w:lang w:val="lt-LT" w:eastAsia="lt-LT"/>
              </w:rPr>
              <w:t>pskaita</w:t>
            </w:r>
            <w:r w:rsidRPr="2918FE7E">
              <w:rPr>
                <w:rFonts w:ascii="Times New Roman" w:hAnsi="Times New Roman"/>
                <w:sz w:val="24"/>
                <w:szCs w:val="24"/>
                <w:lang w:val="lt-LT"/>
              </w:rPr>
              <w:t>“</w:t>
            </w:r>
            <w:r w:rsidRPr="00B37C29">
              <w:rPr>
                <w:rFonts w:ascii="Times New Roman" w:hAnsi="Times New Roman"/>
                <w:sz w:val="22"/>
                <w:szCs w:val="22"/>
                <w:lang w:val="lt-LT" w:eastAsia="lt-LT"/>
              </w:rPr>
              <w:t xml:space="preserve"> 1 dalis, 2 dalies b punktas </w:t>
            </w:r>
          </w:p>
          <w:p w14:paraId="293A386E" w14:textId="77777777" w:rsidR="003225EF" w:rsidRPr="00B37C29" w:rsidRDefault="003225EF" w:rsidP="00A96C1C">
            <w:pPr>
              <w:rPr>
                <w:rFonts w:ascii="Times New Roman" w:hAnsi="Times New Roman"/>
                <w:sz w:val="22"/>
                <w:szCs w:val="22"/>
                <w:lang w:val="lt-LT" w:eastAsia="lt-LT"/>
              </w:rPr>
            </w:pPr>
          </w:p>
        </w:tc>
        <w:tc>
          <w:tcPr>
            <w:tcW w:w="720" w:type="dxa"/>
            <w:shd w:val="clear" w:color="auto" w:fill="FFFFFF"/>
          </w:tcPr>
          <w:p w14:paraId="3993AEB3"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71A1E197"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6A585284"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59628B1C" w14:textId="77777777" w:rsidR="003225EF" w:rsidRPr="00034A68" w:rsidRDefault="003225EF" w:rsidP="00A96C1C">
            <w:pPr>
              <w:jc w:val="both"/>
              <w:outlineLvl w:val="2"/>
              <w:rPr>
                <w:rFonts w:ascii="Times New Roman" w:hAnsi="Times New Roman"/>
                <w:color w:val="215E99"/>
                <w:sz w:val="22"/>
                <w:szCs w:val="22"/>
                <w:lang w:val="lt-LT" w:eastAsia="lt-LT"/>
              </w:rPr>
            </w:pPr>
            <w:r w:rsidRPr="00034A68">
              <w:rPr>
                <w:rFonts w:ascii="Times New Roman" w:hAnsi="Times New Roman"/>
                <w:color w:val="215E99"/>
                <w:sz w:val="22"/>
                <w:szCs w:val="22"/>
                <w:lang w:val="lt-LT"/>
              </w:rPr>
              <w:t>[</w:t>
            </w:r>
            <w:r w:rsidRPr="00034A68">
              <w:rPr>
                <w:rFonts w:ascii="Times New Roman" w:hAnsi="Times New Roman"/>
                <w:color w:val="215E99"/>
                <w:sz w:val="22"/>
                <w:szCs w:val="22"/>
                <w:lang w:val="lt-LT" w:eastAsia="lt-LT"/>
              </w:rPr>
              <w:t>Duomenys turi būti registruojami „žingsnis į priekį, žingsnis atgal“ principu. Turi būti registruojami duomenys, siejantys žaliavas ir jų tiekėjus, gamybos sąnaudas, galutinius produktus ir jų gavėjus, kad būtų galima atsekti kiekvienos į rinką išleistos produkto partijos duomenis (kas?, kur?, kada?, kiek?).</w:t>
            </w:r>
          </w:p>
          <w:p w14:paraId="347FA65C" w14:textId="77777777" w:rsidR="003225EF" w:rsidRPr="00034A68" w:rsidRDefault="003225EF" w:rsidP="00A96C1C">
            <w:pPr>
              <w:jc w:val="both"/>
              <w:outlineLvl w:val="2"/>
              <w:rPr>
                <w:rFonts w:ascii="Times New Roman" w:hAnsi="Times New Roman"/>
                <w:color w:val="215E99"/>
                <w:sz w:val="22"/>
                <w:szCs w:val="22"/>
                <w:lang w:val="lt-LT" w:eastAsia="lt-LT"/>
              </w:rPr>
            </w:pPr>
            <w:r w:rsidRPr="00034A68">
              <w:rPr>
                <w:rFonts w:ascii="Times New Roman" w:hAnsi="Times New Roman"/>
                <w:color w:val="215E99"/>
                <w:sz w:val="22"/>
                <w:szCs w:val="22"/>
                <w:lang w:val="lt-LT" w:eastAsia="lt-LT"/>
              </w:rPr>
              <w:t>Turi būti saugomi:</w:t>
            </w:r>
          </w:p>
          <w:p w14:paraId="201DF48F" w14:textId="77777777" w:rsidR="003225EF" w:rsidRPr="00034A68" w:rsidRDefault="003225EF" w:rsidP="00A96C1C">
            <w:pPr>
              <w:jc w:val="both"/>
              <w:outlineLvl w:val="2"/>
              <w:rPr>
                <w:rFonts w:ascii="Times New Roman" w:hAnsi="Times New Roman"/>
                <w:color w:val="215E99"/>
                <w:sz w:val="22"/>
                <w:szCs w:val="22"/>
                <w:lang w:val="lt-LT" w:eastAsia="lt-LT"/>
              </w:rPr>
            </w:pPr>
            <w:r w:rsidRPr="00034A68">
              <w:rPr>
                <w:rFonts w:ascii="Times New Roman" w:hAnsi="Times New Roman"/>
                <w:color w:val="215E99"/>
                <w:sz w:val="22"/>
                <w:szCs w:val="22"/>
                <w:lang w:val="lt-LT" w:eastAsia="lt-LT"/>
              </w:rPr>
              <w:lastRenderedPageBreak/>
              <w:t xml:space="preserve">- dokumentai, susiję su perdirbtų gyvūninių baltymų ir tokių produktų turinčių kombinuotųjų pašarų atsekamumu (įsigijimas, naudojimas ir kombinuotųjų pašarų su jais pardavimas) mažiausiai 5 metus (kai taikoma išimtis pagal Reglamentą (EB). Nr. 999/2001), </w:t>
            </w:r>
          </w:p>
          <w:p w14:paraId="383BE352" w14:textId="77777777" w:rsidR="003225EF" w:rsidRPr="00034A68" w:rsidRDefault="003225EF" w:rsidP="00A96C1C">
            <w:pPr>
              <w:jc w:val="both"/>
              <w:outlineLvl w:val="2"/>
              <w:rPr>
                <w:rFonts w:ascii="Times New Roman" w:hAnsi="Times New Roman"/>
                <w:color w:val="215E99"/>
                <w:sz w:val="22"/>
                <w:szCs w:val="22"/>
                <w:lang w:val="lt-LT" w:eastAsia="lt-LT"/>
              </w:rPr>
            </w:pPr>
            <w:r w:rsidRPr="00034A68">
              <w:rPr>
                <w:rFonts w:ascii="Times New Roman" w:hAnsi="Times New Roman"/>
                <w:color w:val="215E99"/>
                <w:sz w:val="22"/>
                <w:szCs w:val="22"/>
                <w:lang w:val="lt-LT" w:eastAsia="lt-LT"/>
              </w:rPr>
              <w:t>-</w:t>
            </w:r>
            <w:r>
              <w:rPr>
                <w:rFonts w:ascii="Times New Roman" w:hAnsi="Times New Roman"/>
                <w:color w:val="215E99"/>
                <w:sz w:val="22"/>
                <w:szCs w:val="22"/>
                <w:lang w:val="lt-LT" w:eastAsia="lt-LT"/>
              </w:rPr>
              <w:t xml:space="preserve"> </w:t>
            </w:r>
            <w:r w:rsidRPr="00034A68">
              <w:rPr>
                <w:rFonts w:ascii="Times New Roman" w:hAnsi="Times New Roman"/>
                <w:color w:val="215E99"/>
                <w:sz w:val="22"/>
                <w:szCs w:val="22"/>
                <w:lang w:val="lt-LT" w:eastAsia="lt-LT"/>
              </w:rPr>
              <w:t xml:space="preserve">dokumentai apie vežtus / sandėliuotus palaidus perdirbtus gyvūninius baltymus, di- ir </w:t>
            </w:r>
            <w:proofErr w:type="spellStart"/>
            <w:r w:rsidRPr="00034A68">
              <w:rPr>
                <w:rFonts w:ascii="Times New Roman" w:hAnsi="Times New Roman"/>
                <w:color w:val="215E99"/>
                <w:sz w:val="22"/>
                <w:szCs w:val="22"/>
                <w:lang w:val="lt-LT" w:eastAsia="lt-LT"/>
              </w:rPr>
              <w:t>trikalcio</w:t>
            </w:r>
            <w:proofErr w:type="spellEnd"/>
            <w:r w:rsidRPr="00034A68">
              <w:rPr>
                <w:rFonts w:ascii="Times New Roman" w:hAnsi="Times New Roman"/>
                <w:color w:val="215E99"/>
                <w:sz w:val="22"/>
                <w:szCs w:val="22"/>
                <w:lang w:val="lt-LT" w:eastAsia="lt-LT"/>
              </w:rPr>
              <w:t xml:space="preserve"> fosfatą, kraujo produktus ir kombinuotus pašarus su jais, bent 2 metus, </w:t>
            </w:r>
          </w:p>
          <w:p w14:paraId="6C8CA4AB" w14:textId="77777777" w:rsidR="003225EF" w:rsidRPr="00034A68"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034A68">
              <w:rPr>
                <w:rFonts w:ascii="Times New Roman" w:hAnsi="Times New Roman"/>
                <w:color w:val="215E99"/>
                <w:sz w:val="22"/>
                <w:szCs w:val="22"/>
                <w:lang w:val="lt-LT" w:eastAsia="lt-LT"/>
              </w:rPr>
              <w:t>-</w:t>
            </w:r>
            <w:r>
              <w:rPr>
                <w:rFonts w:ascii="Times New Roman" w:hAnsi="Times New Roman"/>
                <w:color w:val="215E99"/>
                <w:sz w:val="22"/>
                <w:szCs w:val="22"/>
                <w:lang w:val="lt-LT" w:eastAsia="lt-LT"/>
              </w:rPr>
              <w:t xml:space="preserve"> </w:t>
            </w:r>
            <w:r w:rsidRPr="00034A68">
              <w:rPr>
                <w:rFonts w:ascii="Times New Roman" w:hAnsi="Times New Roman"/>
                <w:color w:val="215E99"/>
                <w:sz w:val="22"/>
                <w:szCs w:val="22"/>
                <w:lang w:val="lt-LT" w:eastAsia="lt-LT"/>
              </w:rPr>
              <w:t>kiti dokumentai kaip numatyta įmonės savikontrolės programoje.</w:t>
            </w:r>
            <w:r w:rsidRPr="00034A68">
              <w:rPr>
                <w:rFonts w:ascii="Times New Roman" w:hAnsi="Times New Roman"/>
                <w:color w:val="215E99"/>
                <w:sz w:val="22"/>
                <w:szCs w:val="22"/>
                <w:lang w:val="lt-LT"/>
              </w:rPr>
              <w:t>]</w:t>
            </w:r>
          </w:p>
        </w:tc>
      </w:tr>
      <w:tr w:rsidR="003225EF" w:rsidRPr="003E3BB7" w14:paraId="5493DEE2" w14:textId="77777777" w:rsidTr="00A96C1C">
        <w:trPr>
          <w:cantSplit/>
          <w:trHeight w:val="22"/>
        </w:trPr>
        <w:tc>
          <w:tcPr>
            <w:tcW w:w="700" w:type="dxa"/>
          </w:tcPr>
          <w:p w14:paraId="1A5D3FA3"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lastRenderedPageBreak/>
              <w:t>6.</w:t>
            </w:r>
          </w:p>
        </w:tc>
        <w:tc>
          <w:tcPr>
            <w:tcW w:w="3660" w:type="dxa"/>
          </w:tcPr>
          <w:p w14:paraId="065F03EB" w14:textId="77777777" w:rsidR="003225EF" w:rsidRPr="00034A68" w:rsidRDefault="003225EF" w:rsidP="00A96C1C">
            <w:pPr>
              <w:jc w:val="both"/>
              <w:rPr>
                <w:rFonts w:ascii="Times New Roman" w:hAnsi="Times New Roman"/>
                <w:sz w:val="22"/>
                <w:szCs w:val="22"/>
                <w:lang w:val="pl-PL" w:eastAsia="lt-LT"/>
              </w:rPr>
            </w:pPr>
            <w:r w:rsidRPr="00034A68">
              <w:rPr>
                <w:rFonts w:ascii="Times New Roman" w:hAnsi="Times New Roman"/>
                <w:sz w:val="22"/>
                <w:szCs w:val="22"/>
                <w:lang w:val="pl-PL" w:eastAsia="lt-LT"/>
              </w:rPr>
              <w:t>Ar skundai registruojami ir nagrinėjami?</w:t>
            </w:r>
          </w:p>
        </w:tc>
        <w:tc>
          <w:tcPr>
            <w:tcW w:w="2880" w:type="dxa"/>
          </w:tcPr>
          <w:p w14:paraId="06260E97"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hyperlink r:id="rId13"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pt-BR"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Skundai ir produkcijos atšaukimas</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1 dalis </w:t>
            </w:r>
          </w:p>
        </w:tc>
        <w:tc>
          <w:tcPr>
            <w:tcW w:w="720" w:type="dxa"/>
            <w:shd w:val="clear" w:color="auto" w:fill="FFFFFF"/>
          </w:tcPr>
          <w:p w14:paraId="7D0A5D84"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11B286AB"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08E50F63"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568C0475" w14:textId="77777777" w:rsidR="003225EF" w:rsidRPr="00F969F2" w:rsidRDefault="003225EF" w:rsidP="00A96C1C">
            <w:pPr>
              <w:widowControl w:val="0"/>
              <w:shd w:val="clear" w:color="auto" w:fill="FFFFFF"/>
              <w:spacing w:line="254" w:lineRule="auto"/>
              <w:jc w:val="both"/>
              <w:rPr>
                <w:rFonts w:ascii="Times New Roman" w:hAnsi="Times New Roman"/>
                <w:color w:val="215E99"/>
                <w:sz w:val="22"/>
                <w:szCs w:val="22"/>
                <w:lang w:val="pt-BR"/>
              </w:rPr>
            </w:pPr>
          </w:p>
        </w:tc>
      </w:tr>
      <w:tr w:rsidR="003225EF" w:rsidRPr="003E3BB7" w14:paraId="05CF8EFD" w14:textId="77777777" w:rsidTr="00A96C1C">
        <w:trPr>
          <w:cantSplit/>
          <w:trHeight w:val="22"/>
        </w:trPr>
        <w:tc>
          <w:tcPr>
            <w:tcW w:w="700" w:type="dxa"/>
          </w:tcPr>
          <w:p w14:paraId="47DA70E6"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sidRPr="0068644D">
              <w:rPr>
                <w:rFonts w:ascii="Times New Roman" w:hAnsi="Times New Roman"/>
                <w:kern w:val="2"/>
                <w:sz w:val="22"/>
                <w:szCs w:val="22"/>
              </w:rPr>
              <w:t>7.</w:t>
            </w:r>
          </w:p>
        </w:tc>
        <w:tc>
          <w:tcPr>
            <w:tcW w:w="3660" w:type="dxa"/>
          </w:tcPr>
          <w:p w14:paraId="2229F781"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68644D">
              <w:rPr>
                <w:rFonts w:ascii="Times New Roman" w:hAnsi="Times New Roman"/>
                <w:sz w:val="22"/>
                <w:szCs w:val="22"/>
                <w:lang w:eastAsia="lt-LT"/>
              </w:rPr>
              <w:t>Ar</w:t>
            </w:r>
            <w:r>
              <w:rPr>
                <w:rFonts w:ascii="Times New Roman" w:hAnsi="Times New Roman"/>
                <w:sz w:val="22"/>
                <w:szCs w:val="22"/>
                <w:lang w:eastAsia="lt-LT"/>
              </w:rPr>
              <w:t xml:space="preserve"> pašarų ūkio subjektas</w:t>
            </w:r>
            <w:r w:rsidRPr="0068644D">
              <w:rPr>
                <w:rFonts w:ascii="Times New Roman" w:hAnsi="Times New Roman"/>
                <w:sz w:val="22"/>
                <w:szCs w:val="22"/>
                <w:lang w:eastAsia="lt-LT"/>
              </w:rPr>
              <w:t>, nusta</w:t>
            </w:r>
            <w:r>
              <w:rPr>
                <w:rFonts w:ascii="Times New Roman" w:hAnsi="Times New Roman"/>
                <w:sz w:val="22"/>
                <w:szCs w:val="22"/>
                <w:lang w:eastAsia="lt-LT"/>
              </w:rPr>
              <w:t xml:space="preserve">tęs </w:t>
            </w:r>
            <w:r w:rsidRPr="0068644D">
              <w:rPr>
                <w:rFonts w:ascii="Times New Roman" w:hAnsi="Times New Roman"/>
                <w:sz w:val="22"/>
                <w:szCs w:val="22"/>
                <w:lang w:eastAsia="lt-LT"/>
              </w:rPr>
              <w:t xml:space="preserve"> nesaugų produktą, atlieka </w:t>
            </w:r>
            <w:r>
              <w:rPr>
                <w:rFonts w:ascii="Times New Roman" w:hAnsi="Times New Roman"/>
                <w:sz w:val="22"/>
                <w:szCs w:val="22"/>
                <w:lang w:eastAsia="lt-LT"/>
              </w:rPr>
              <w:t xml:space="preserve">savo </w:t>
            </w:r>
            <w:r w:rsidRPr="0068644D">
              <w:rPr>
                <w:rFonts w:ascii="Times New Roman" w:hAnsi="Times New Roman"/>
                <w:sz w:val="22"/>
                <w:szCs w:val="22"/>
                <w:lang w:eastAsia="lt-LT"/>
              </w:rPr>
              <w:t>rašytinėje procedūroje</w:t>
            </w:r>
            <w:r>
              <w:rPr>
                <w:rFonts w:ascii="Times New Roman" w:hAnsi="Times New Roman"/>
                <w:sz w:val="22"/>
                <w:szCs w:val="22"/>
                <w:lang w:eastAsia="lt-LT"/>
              </w:rPr>
              <w:t xml:space="preserve"> ir VMVT nustatytus veiksmus</w:t>
            </w:r>
            <w:r w:rsidRPr="0068644D">
              <w:rPr>
                <w:rFonts w:ascii="Times New Roman" w:hAnsi="Times New Roman"/>
                <w:sz w:val="22"/>
                <w:szCs w:val="22"/>
                <w:lang w:eastAsia="lt-LT"/>
              </w:rPr>
              <w:t>?</w:t>
            </w:r>
          </w:p>
        </w:tc>
        <w:tc>
          <w:tcPr>
            <w:tcW w:w="2880" w:type="dxa"/>
          </w:tcPr>
          <w:p w14:paraId="3F08E26F" w14:textId="77777777" w:rsidR="003225EF" w:rsidRPr="00F969F2" w:rsidRDefault="003225EF" w:rsidP="00A96C1C">
            <w:pPr>
              <w:rPr>
                <w:rFonts w:ascii="Times New Roman" w:hAnsi="Times New Roman"/>
                <w:sz w:val="22"/>
                <w:szCs w:val="22"/>
                <w:lang w:val="pt-BR" w:eastAsia="lt-LT"/>
              </w:rPr>
            </w:pPr>
            <w:hyperlink r:id="rId14" w:history="1">
              <w:r w:rsidRPr="00C72C2F">
                <w:rPr>
                  <w:rStyle w:val="Hyperlink"/>
                  <w:rFonts w:ascii="Times New Roman" w:eastAsiaTheme="majorEastAsia" w:hAnsi="Times New Roman"/>
                  <w:sz w:val="22"/>
                  <w:szCs w:val="22"/>
                  <w:lang w:val="pt-BR" w:eastAsia="lt-LT"/>
                </w:rPr>
                <w:t>[</w:t>
              </w:r>
              <w:r>
                <w:rPr>
                  <w:rStyle w:val="Hyperlink"/>
                  <w:rFonts w:ascii="Times New Roman" w:eastAsiaTheme="majorEastAsia" w:hAnsi="Times New Roman"/>
                  <w:sz w:val="22"/>
                  <w:szCs w:val="22"/>
                  <w:lang w:val="pt-BR" w:eastAsia="lt-LT"/>
                </w:rPr>
                <w:t>2</w:t>
              </w:r>
              <w:r w:rsidRPr="00C72C2F">
                <w:rPr>
                  <w:rStyle w:val="Hyperlink"/>
                  <w:rFonts w:ascii="Times New Roman" w:eastAsiaTheme="majorEastAsia" w:hAnsi="Times New Roman"/>
                  <w:sz w:val="22"/>
                  <w:szCs w:val="22"/>
                  <w:lang w:val="pt-BR" w:eastAsia="lt-LT"/>
                </w:rPr>
                <w:t>]</w:t>
              </w:r>
            </w:hyperlink>
            <w:r w:rsidRPr="00F969F2">
              <w:rPr>
                <w:rFonts w:ascii="Times New Roman" w:hAnsi="Times New Roman"/>
                <w:sz w:val="22"/>
                <w:szCs w:val="22"/>
                <w:lang w:val="pt-BR" w:eastAsia="lt-LT"/>
              </w:rPr>
              <w:t xml:space="preserve"> 20 straipsnio 1 dalis; </w:t>
            </w:r>
          </w:p>
          <w:p w14:paraId="52E39C9B" w14:textId="77777777" w:rsidR="003225EF" w:rsidRPr="00F969F2" w:rsidRDefault="003225EF" w:rsidP="00A96C1C">
            <w:pPr>
              <w:rPr>
                <w:rFonts w:ascii="Times New Roman" w:hAnsi="Times New Roman"/>
                <w:sz w:val="22"/>
                <w:szCs w:val="22"/>
                <w:lang w:val="pt-BR" w:eastAsia="lt-LT"/>
              </w:rPr>
            </w:pPr>
            <w:hyperlink r:id="rId15"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pt-BR"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Skundai ir produkcijos atšaukimas</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2 dalis </w:t>
            </w:r>
          </w:p>
          <w:p w14:paraId="00FBCFD0" w14:textId="77777777" w:rsidR="003225EF" w:rsidRPr="002B060A" w:rsidRDefault="003225EF" w:rsidP="00A96C1C">
            <w:pPr>
              <w:rPr>
                <w:rFonts w:ascii="Times New Roman" w:hAnsi="Times New Roman"/>
                <w:sz w:val="22"/>
                <w:szCs w:val="22"/>
                <w:lang w:eastAsia="lt-LT"/>
              </w:rPr>
            </w:pPr>
            <w:hyperlink r:id="rId16" w:history="1">
              <w:r w:rsidRPr="002B060A">
                <w:rPr>
                  <w:rStyle w:val="Hyperlink"/>
                  <w:rFonts w:ascii="Times New Roman" w:eastAsiaTheme="majorEastAsia" w:hAnsi="Times New Roman"/>
                  <w:sz w:val="22"/>
                  <w:szCs w:val="22"/>
                  <w:lang w:eastAsia="lt-LT"/>
                </w:rPr>
                <w:t>[6]</w:t>
              </w:r>
            </w:hyperlink>
            <w:r w:rsidRPr="002B060A">
              <w:rPr>
                <w:rFonts w:ascii="Times New Roman" w:hAnsi="Times New Roman"/>
                <w:sz w:val="22"/>
                <w:szCs w:val="22"/>
                <w:lang w:eastAsia="lt-LT"/>
              </w:rPr>
              <w:t xml:space="preserve"> 3 punktas</w:t>
            </w:r>
          </w:p>
          <w:p w14:paraId="57600872"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1A30EBDD"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61D5322F"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4AF3180E"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6AEEA8E6" w14:textId="77777777" w:rsidR="003225EF" w:rsidRPr="00B37C29" w:rsidRDefault="003225EF"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 xml:space="preserve">Rašytinėje procedūroje turi būti nurodyta, kur atšaukti produktai bus gabenami. Prieš juos vėl pateikiant į apyvartą, turi būti atliktas naujas šių produktų kokybės patikrinimas. </w:t>
            </w:r>
          </w:p>
          <w:p w14:paraId="60D27B42"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eastAsia="lt-LT"/>
              </w:rPr>
              <w:t>Pašarų verslo operatorius privalo pašalinti nesaugius pašarus iš rinkos, informuoti VMVT ir juos sunaikinti arba, gavęs VMVT leidimą, tvarkyti kitu įstatymų numatytu būdu.</w:t>
            </w:r>
            <w:r w:rsidRPr="00B37C29">
              <w:rPr>
                <w:rFonts w:ascii="Times New Roman" w:hAnsi="Times New Roman"/>
                <w:color w:val="215E99"/>
                <w:sz w:val="22"/>
                <w:szCs w:val="22"/>
                <w:lang w:val="lt-LT"/>
              </w:rPr>
              <w:t>]</w:t>
            </w:r>
          </w:p>
        </w:tc>
      </w:tr>
      <w:tr w:rsidR="003225EF" w:rsidRPr="0068644D" w14:paraId="3B62E81D" w14:textId="77777777" w:rsidTr="00A96C1C">
        <w:trPr>
          <w:cantSplit/>
          <w:trHeight w:val="22"/>
        </w:trPr>
        <w:tc>
          <w:tcPr>
            <w:tcW w:w="14499" w:type="dxa"/>
            <w:gridSpan w:val="7"/>
          </w:tcPr>
          <w:p w14:paraId="06AD24A1" w14:textId="77777777" w:rsidR="003225EF" w:rsidRPr="002B060A" w:rsidRDefault="003225EF" w:rsidP="00A96C1C">
            <w:pPr>
              <w:widowControl w:val="0"/>
              <w:shd w:val="clear" w:color="auto" w:fill="FFFFFF"/>
              <w:spacing w:line="254" w:lineRule="auto"/>
              <w:rPr>
                <w:rFonts w:ascii="Times New Roman" w:hAnsi="Times New Roman"/>
                <w:color w:val="215E99"/>
                <w:sz w:val="22"/>
                <w:szCs w:val="22"/>
              </w:rPr>
            </w:pPr>
            <w:r w:rsidRPr="002B060A">
              <w:rPr>
                <w:rFonts w:ascii="Times New Roman" w:hAnsi="Times New Roman"/>
                <w:b/>
                <w:bCs/>
                <w:sz w:val="22"/>
                <w:szCs w:val="22"/>
              </w:rPr>
              <w:t>Reikalavimai patalpoms ir įrangai</w:t>
            </w:r>
          </w:p>
        </w:tc>
      </w:tr>
      <w:tr w:rsidR="003225EF" w:rsidRPr="003E3BB7" w14:paraId="319B18ED" w14:textId="77777777" w:rsidTr="00A96C1C">
        <w:trPr>
          <w:cantSplit/>
          <w:trHeight w:val="22"/>
        </w:trPr>
        <w:tc>
          <w:tcPr>
            <w:tcW w:w="700" w:type="dxa"/>
          </w:tcPr>
          <w:p w14:paraId="5C6F8024"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8.</w:t>
            </w:r>
          </w:p>
        </w:tc>
        <w:tc>
          <w:tcPr>
            <w:tcW w:w="3660" w:type="dxa"/>
          </w:tcPr>
          <w:p w14:paraId="3C93DC97"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68644D">
              <w:rPr>
                <w:rFonts w:ascii="Times New Roman" w:hAnsi="Times New Roman"/>
                <w:sz w:val="22"/>
                <w:szCs w:val="22"/>
                <w:lang w:eastAsia="lt-LT"/>
              </w:rPr>
              <w:t xml:space="preserve">Ar patalpų ir įrangos dydis, išplanavimas ir konstrukcija yra tokie, kad </w:t>
            </w:r>
            <w:r>
              <w:rPr>
                <w:rFonts w:ascii="Times New Roman" w:hAnsi="Times New Roman"/>
                <w:sz w:val="22"/>
                <w:szCs w:val="22"/>
                <w:lang w:eastAsia="lt-LT"/>
              </w:rPr>
              <w:t>būtų išvengta neigiamo poveikio pašarų saugai ir kokybei</w:t>
            </w:r>
            <w:r w:rsidRPr="0068644D">
              <w:rPr>
                <w:rFonts w:ascii="Times New Roman" w:hAnsi="Times New Roman"/>
                <w:sz w:val="22"/>
                <w:szCs w:val="22"/>
                <w:lang w:eastAsia="lt-LT"/>
              </w:rPr>
              <w:t>?</w:t>
            </w:r>
          </w:p>
        </w:tc>
        <w:tc>
          <w:tcPr>
            <w:tcW w:w="2880" w:type="dxa"/>
          </w:tcPr>
          <w:p w14:paraId="0F825BD5" w14:textId="77777777" w:rsidR="003225EF" w:rsidRPr="00B37C29" w:rsidRDefault="003225EF" w:rsidP="00A96C1C">
            <w:pPr>
              <w:widowControl w:val="0"/>
              <w:shd w:val="clear" w:color="auto" w:fill="FFFFFF"/>
              <w:spacing w:line="254" w:lineRule="auto"/>
              <w:rPr>
                <w:rFonts w:ascii="Times New Roman" w:hAnsi="Times New Roman"/>
                <w:sz w:val="22"/>
                <w:szCs w:val="22"/>
                <w:lang w:val="lt-LT" w:eastAsia="lt-LT"/>
              </w:rPr>
            </w:pPr>
            <w:hyperlink r:id="rId17"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B37C29">
              <w:rPr>
                <w:rFonts w:ascii="Times New Roman" w:hAnsi="Times New Roman"/>
                <w:sz w:val="22"/>
                <w:szCs w:val="22"/>
                <w:lang w:val="lt-LT" w:eastAsia="lt-LT"/>
              </w:rPr>
              <w:t xml:space="preserve">II priedo skyriaus </w:t>
            </w:r>
            <w:r w:rsidRPr="2918FE7E">
              <w:rPr>
                <w:rFonts w:ascii="Times New Roman" w:hAnsi="Times New Roman"/>
                <w:sz w:val="24"/>
                <w:szCs w:val="24"/>
                <w:lang w:val="lt-LT"/>
              </w:rPr>
              <w:t>„</w:t>
            </w:r>
            <w:r w:rsidRPr="00B37C29">
              <w:rPr>
                <w:rFonts w:ascii="Times New Roman" w:hAnsi="Times New Roman"/>
                <w:sz w:val="22"/>
                <w:szCs w:val="22"/>
                <w:lang w:val="lt-LT" w:eastAsia="lt-LT"/>
              </w:rPr>
              <w:t>Reikmenys ir įranga</w:t>
            </w:r>
            <w:r w:rsidRPr="2918FE7E">
              <w:rPr>
                <w:rFonts w:ascii="Times New Roman" w:hAnsi="Times New Roman"/>
                <w:sz w:val="24"/>
                <w:szCs w:val="24"/>
                <w:lang w:val="lt-LT"/>
              </w:rPr>
              <w:t>“</w:t>
            </w:r>
            <w:r w:rsidRPr="00B37C29">
              <w:rPr>
                <w:rFonts w:ascii="Times New Roman" w:hAnsi="Times New Roman"/>
                <w:sz w:val="22"/>
                <w:szCs w:val="22"/>
                <w:lang w:val="lt-LT" w:eastAsia="lt-LT"/>
              </w:rPr>
              <w:t xml:space="preserve"> 2 dalies b punktas, 9 dalis, skyriaus </w:t>
            </w:r>
            <w:r w:rsidRPr="2918FE7E">
              <w:rPr>
                <w:rFonts w:ascii="Times New Roman" w:hAnsi="Times New Roman"/>
                <w:sz w:val="24"/>
                <w:szCs w:val="24"/>
                <w:lang w:val="lt-LT"/>
              </w:rPr>
              <w:t>„</w:t>
            </w:r>
            <w:r w:rsidRPr="00B37C29">
              <w:rPr>
                <w:rFonts w:ascii="Times New Roman" w:hAnsi="Times New Roman"/>
                <w:sz w:val="22"/>
                <w:szCs w:val="22"/>
                <w:lang w:val="lt-LT" w:eastAsia="lt-LT"/>
              </w:rPr>
              <w:t>Sandėliavimas ir gabenimas</w:t>
            </w:r>
            <w:r w:rsidRPr="2918FE7E">
              <w:rPr>
                <w:rFonts w:ascii="Times New Roman" w:hAnsi="Times New Roman"/>
                <w:sz w:val="24"/>
                <w:szCs w:val="24"/>
                <w:lang w:val="lt-LT"/>
              </w:rPr>
              <w:t>“</w:t>
            </w:r>
            <w:r w:rsidRPr="00B37C29">
              <w:rPr>
                <w:rFonts w:ascii="Times New Roman" w:hAnsi="Times New Roman"/>
                <w:sz w:val="22"/>
                <w:szCs w:val="22"/>
                <w:lang w:val="lt-LT" w:eastAsia="lt-LT"/>
              </w:rPr>
              <w:t xml:space="preserve"> 2 dalis</w:t>
            </w:r>
          </w:p>
          <w:p w14:paraId="1709BF17" w14:textId="77777777" w:rsidR="003225EF" w:rsidRPr="00B37C29" w:rsidRDefault="003225EF" w:rsidP="00A96C1C">
            <w:pPr>
              <w:widowControl w:val="0"/>
              <w:shd w:val="clear" w:color="auto" w:fill="FFFFFF"/>
              <w:spacing w:line="254" w:lineRule="auto"/>
              <w:rPr>
                <w:rFonts w:ascii="Times New Roman" w:hAnsi="Times New Roman"/>
                <w:sz w:val="22"/>
                <w:szCs w:val="22"/>
                <w:lang w:val="lt-LT" w:eastAsia="lt-LT"/>
              </w:rPr>
            </w:pPr>
          </w:p>
          <w:p w14:paraId="6BF49E7C"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2270DFAD"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5F41C796"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992BA3A"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0CFF4320" w14:textId="77777777" w:rsidR="003225EF" w:rsidRPr="00B37C29" w:rsidRDefault="003225EF" w:rsidP="00A96C1C">
            <w:pPr>
              <w:jc w:val="both"/>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 xml:space="preserve">Patalpos ir įranga turi būti suprojektuotos, ir įrengtos, o darbas organizuojamas taip, kad kuo labiau būtų sumažinta klaidų rizika, išvengta užteršimo, įskaitant kryžminę taršą, ar kito neigiamo poveikio produktų saugai ir kokybei. </w:t>
            </w:r>
          </w:p>
          <w:p w14:paraId="37BEE670"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eastAsia="lt-LT"/>
              </w:rPr>
              <w:t xml:space="preserve">Lubos ir viršutiniai įrenginiai turi būti sukonstruoti taip, kad nesikauptų nešvarumai, kondensatas ir pelėsis, nekristų dalelės, galinčios turėti įtakos pašarų saugai ir kokybei. Įranga, kuri liečiasi su pašarais ir </w:t>
            </w:r>
            <w:r w:rsidRPr="00B37C29">
              <w:rPr>
                <w:rFonts w:ascii="Times New Roman" w:hAnsi="Times New Roman"/>
                <w:color w:val="215E99"/>
                <w:sz w:val="22"/>
                <w:szCs w:val="22"/>
                <w:lang w:val="lt-LT"/>
              </w:rPr>
              <w:t>kuri yra valoma šlapiu būdu</w:t>
            </w:r>
            <w:r w:rsidRPr="00B37C29">
              <w:rPr>
                <w:rFonts w:ascii="Times New Roman" w:hAnsi="Times New Roman"/>
                <w:color w:val="215E99"/>
                <w:sz w:val="22"/>
                <w:szCs w:val="22"/>
                <w:lang w:val="lt-LT" w:eastAsia="lt-LT"/>
              </w:rPr>
              <w:t>, po valymo šlapiu būdu turi būti išdžiovinta.</w:t>
            </w:r>
            <w:r w:rsidRPr="00B37C29">
              <w:rPr>
                <w:rFonts w:ascii="Times New Roman" w:hAnsi="Times New Roman"/>
                <w:color w:val="215E99"/>
                <w:sz w:val="22"/>
                <w:szCs w:val="22"/>
                <w:lang w:val="lt-LT"/>
              </w:rPr>
              <w:t>]</w:t>
            </w:r>
          </w:p>
        </w:tc>
      </w:tr>
      <w:tr w:rsidR="003225EF" w:rsidRPr="003E3BB7" w14:paraId="43BD7D35" w14:textId="77777777" w:rsidTr="00A96C1C">
        <w:trPr>
          <w:cantSplit/>
          <w:trHeight w:val="22"/>
        </w:trPr>
        <w:tc>
          <w:tcPr>
            <w:tcW w:w="700" w:type="dxa"/>
          </w:tcPr>
          <w:p w14:paraId="26180574"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lastRenderedPageBreak/>
              <w:t>9.</w:t>
            </w:r>
          </w:p>
        </w:tc>
        <w:tc>
          <w:tcPr>
            <w:tcW w:w="3660" w:type="dxa"/>
          </w:tcPr>
          <w:p w14:paraId="02960651" w14:textId="77777777" w:rsidR="003225EF" w:rsidRPr="0068644D" w:rsidRDefault="003225EF" w:rsidP="00A96C1C">
            <w:pPr>
              <w:widowControl w:val="0"/>
              <w:shd w:val="clear" w:color="auto" w:fill="FFFFFF"/>
              <w:spacing w:line="254" w:lineRule="auto"/>
              <w:jc w:val="both"/>
              <w:rPr>
                <w:rFonts w:ascii="Times New Roman" w:hAnsi="Times New Roman"/>
                <w:kern w:val="2"/>
                <w:sz w:val="22"/>
                <w:szCs w:val="22"/>
                <w:lang w:val="lt-LT" w:eastAsia="lt-LT"/>
              </w:rPr>
            </w:pPr>
            <w:r w:rsidRPr="00F969F2">
              <w:rPr>
                <w:rFonts w:ascii="Times New Roman" w:hAnsi="Times New Roman"/>
                <w:sz w:val="22"/>
                <w:szCs w:val="22"/>
                <w:lang w:val="pt-BR" w:eastAsia="lt-LT"/>
              </w:rPr>
              <w:t>Ar patalpos ir įranga, talpos tokie, kad jas būtų įmanoma tinkamai valyti ir (ar) dezinfekuoti?</w:t>
            </w:r>
          </w:p>
        </w:tc>
        <w:tc>
          <w:tcPr>
            <w:tcW w:w="2880" w:type="dxa"/>
          </w:tcPr>
          <w:p w14:paraId="507CF65D" w14:textId="77777777" w:rsidR="003225EF" w:rsidRPr="00034A68" w:rsidRDefault="003225EF" w:rsidP="00A96C1C">
            <w:pPr>
              <w:rPr>
                <w:rFonts w:ascii="Times New Roman" w:hAnsi="Times New Roman"/>
                <w:sz w:val="22"/>
                <w:szCs w:val="22"/>
                <w:lang w:val="lt-LT" w:eastAsia="lt-LT"/>
              </w:rPr>
            </w:pPr>
            <w:hyperlink r:id="rId18"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034A68">
              <w:rPr>
                <w:rFonts w:ascii="Times New Roman" w:hAnsi="Times New Roman"/>
                <w:sz w:val="22"/>
                <w:szCs w:val="22"/>
                <w:lang w:val="lt-LT" w:eastAsia="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lt-LT" w:eastAsia="lt-LT"/>
              </w:rPr>
              <w:t>Reikmenys ir įranga</w:t>
            </w:r>
            <w:r w:rsidRPr="2918FE7E">
              <w:rPr>
                <w:rFonts w:ascii="Times New Roman" w:hAnsi="Times New Roman"/>
                <w:sz w:val="24"/>
                <w:szCs w:val="24"/>
                <w:lang w:val="lt-LT"/>
              </w:rPr>
              <w:t>“</w:t>
            </w:r>
            <w:r w:rsidRPr="00034A68">
              <w:rPr>
                <w:rFonts w:ascii="Times New Roman" w:hAnsi="Times New Roman"/>
                <w:sz w:val="22"/>
                <w:szCs w:val="22"/>
                <w:lang w:val="lt-LT" w:eastAsia="lt-LT"/>
              </w:rPr>
              <w:t xml:space="preserve"> 2 dalies a punktas, skyriaus </w:t>
            </w:r>
            <w:r w:rsidRPr="2918FE7E">
              <w:rPr>
                <w:rFonts w:ascii="Times New Roman" w:hAnsi="Times New Roman"/>
                <w:sz w:val="24"/>
                <w:szCs w:val="24"/>
                <w:lang w:val="lt-LT"/>
              </w:rPr>
              <w:t>„</w:t>
            </w:r>
            <w:r w:rsidRPr="00034A68">
              <w:rPr>
                <w:rFonts w:ascii="Times New Roman" w:hAnsi="Times New Roman"/>
                <w:sz w:val="22"/>
                <w:szCs w:val="22"/>
                <w:lang w:val="lt-LT" w:eastAsia="lt-LT"/>
              </w:rPr>
              <w:t>Sandėliavimas ir gabenimas</w:t>
            </w:r>
            <w:r w:rsidRPr="2918FE7E">
              <w:rPr>
                <w:rFonts w:ascii="Times New Roman" w:hAnsi="Times New Roman"/>
                <w:sz w:val="24"/>
                <w:szCs w:val="24"/>
                <w:lang w:val="lt-LT"/>
              </w:rPr>
              <w:t>“</w:t>
            </w:r>
            <w:r w:rsidRPr="00034A68">
              <w:rPr>
                <w:rFonts w:ascii="Times New Roman" w:hAnsi="Times New Roman"/>
                <w:sz w:val="22"/>
                <w:szCs w:val="22"/>
                <w:lang w:val="lt-LT" w:eastAsia="lt-LT"/>
              </w:rPr>
              <w:t xml:space="preserve"> 2 dalis</w:t>
            </w:r>
          </w:p>
        </w:tc>
        <w:tc>
          <w:tcPr>
            <w:tcW w:w="720" w:type="dxa"/>
            <w:shd w:val="clear" w:color="auto" w:fill="FFFFFF"/>
          </w:tcPr>
          <w:p w14:paraId="65043CAE"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6E98C975"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6757D12"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144C0737" w14:textId="77777777" w:rsidR="003225EF" w:rsidRPr="00034A68" w:rsidRDefault="003225EF" w:rsidP="00A96C1C">
            <w:pPr>
              <w:widowControl w:val="0"/>
              <w:shd w:val="clear" w:color="auto" w:fill="FFFFFF"/>
              <w:spacing w:line="254" w:lineRule="auto"/>
              <w:rPr>
                <w:rFonts w:ascii="Times New Roman" w:hAnsi="Times New Roman"/>
                <w:color w:val="215E99"/>
                <w:sz w:val="22"/>
                <w:szCs w:val="22"/>
                <w:lang w:val="lt-LT"/>
              </w:rPr>
            </w:pPr>
            <w:r w:rsidRPr="00034A68">
              <w:rPr>
                <w:rFonts w:ascii="Times New Roman" w:hAnsi="Times New Roman"/>
                <w:color w:val="215E99"/>
                <w:sz w:val="22"/>
                <w:szCs w:val="22"/>
                <w:lang w:val="lt-LT"/>
              </w:rPr>
              <w:t>[</w:t>
            </w:r>
            <w:r w:rsidRPr="00034A68">
              <w:rPr>
                <w:rFonts w:ascii="Times New Roman" w:hAnsi="Times New Roman"/>
                <w:color w:val="215E99"/>
                <w:sz w:val="22"/>
                <w:szCs w:val="22"/>
                <w:lang w:val="lt-LT" w:eastAsia="lt-LT"/>
              </w:rPr>
              <w:t>Paviršiai turi būti lygūs, be korozijos ir pan.</w:t>
            </w:r>
            <w:r w:rsidRPr="00034A68">
              <w:rPr>
                <w:rFonts w:ascii="Times New Roman" w:hAnsi="Times New Roman"/>
                <w:color w:val="215E99"/>
                <w:sz w:val="22"/>
                <w:szCs w:val="22"/>
                <w:lang w:val="lt-LT"/>
              </w:rPr>
              <w:t>]</w:t>
            </w:r>
          </w:p>
        </w:tc>
      </w:tr>
      <w:tr w:rsidR="003225EF" w:rsidRPr="003E3BB7" w14:paraId="4C86BC22" w14:textId="77777777" w:rsidTr="00A96C1C">
        <w:trPr>
          <w:cantSplit/>
          <w:trHeight w:val="22"/>
        </w:trPr>
        <w:tc>
          <w:tcPr>
            <w:tcW w:w="700" w:type="dxa"/>
          </w:tcPr>
          <w:p w14:paraId="577924E2"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10.</w:t>
            </w:r>
          </w:p>
        </w:tc>
        <w:tc>
          <w:tcPr>
            <w:tcW w:w="3660" w:type="dxa"/>
          </w:tcPr>
          <w:p w14:paraId="5D88C8A4" w14:textId="77777777" w:rsidR="003225EF" w:rsidRPr="00F969F2" w:rsidRDefault="003225EF"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eastAsia="lt-LT"/>
              </w:rPr>
              <w:t>Ar patalpos tvarkingos ir švarios, valymas, dezinfekcija vykdomi pagal rašytines instrukcijas / programas, yra atliktų darbų įrašai?</w:t>
            </w:r>
          </w:p>
        </w:tc>
        <w:tc>
          <w:tcPr>
            <w:tcW w:w="2880" w:type="dxa"/>
          </w:tcPr>
          <w:p w14:paraId="638633E9" w14:textId="77777777" w:rsidR="003225EF" w:rsidRPr="00F969F2" w:rsidRDefault="003225EF" w:rsidP="00A96C1C">
            <w:pPr>
              <w:widowControl w:val="0"/>
              <w:shd w:val="clear" w:color="auto" w:fill="FFFFFF"/>
              <w:spacing w:line="254" w:lineRule="auto"/>
              <w:rPr>
                <w:rFonts w:ascii="Times New Roman" w:hAnsi="Times New Roman"/>
                <w:sz w:val="22"/>
                <w:szCs w:val="22"/>
                <w:lang w:val="pt-BR" w:eastAsia="lt-LT"/>
              </w:rPr>
            </w:pPr>
            <w:hyperlink r:id="rId19"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pt-BR"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Reikmenys ir įranga</w:t>
            </w:r>
            <w:r w:rsidRPr="2918FE7E">
              <w:rPr>
                <w:rFonts w:ascii="Times New Roman" w:hAnsi="Times New Roman"/>
                <w:sz w:val="24"/>
                <w:szCs w:val="24"/>
                <w:lang w:val="lt-LT"/>
              </w:rPr>
              <w:t>“</w:t>
            </w:r>
            <w:r>
              <w:rPr>
                <w:rFonts w:ascii="Times New Roman" w:hAnsi="Times New Roman"/>
                <w:sz w:val="24"/>
                <w:szCs w:val="24"/>
                <w:lang w:val="lt-LT"/>
              </w:rPr>
              <w:t xml:space="preserve"> </w:t>
            </w:r>
            <w:r w:rsidRPr="00F969F2">
              <w:rPr>
                <w:rFonts w:ascii="Times New Roman" w:hAnsi="Times New Roman"/>
                <w:sz w:val="22"/>
                <w:szCs w:val="22"/>
                <w:lang w:val="pt-BR" w:eastAsia="lt-LT"/>
              </w:rPr>
              <w:t xml:space="preserve">1 dalis,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Sandėliavimas ir gabenimas</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4 dalis</w:t>
            </w:r>
          </w:p>
        </w:tc>
        <w:tc>
          <w:tcPr>
            <w:tcW w:w="720" w:type="dxa"/>
            <w:shd w:val="clear" w:color="auto" w:fill="FFFFFF"/>
          </w:tcPr>
          <w:p w14:paraId="2E8266E9"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5BB2B662"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20BC137"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48003F3C"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[Vykdomam procesui būdingas nešvarumų lygis galimas, tačiau neturi būti nešvarumų sluoksnių ar kitų požymių, rodančių, kad reguliarus valymas nėra atliekamas (didelis kiekis, seni nešvarumai).]</w:t>
            </w:r>
          </w:p>
        </w:tc>
      </w:tr>
      <w:tr w:rsidR="003225EF" w:rsidRPr="003E3BB7" w14:paraId="432CA0E5" w14:textId="77777777" w:rsidTr="00A96C1C">
        <w:trPr>
          <w:cantSplit/>
          <w:trHeight w:val="22"/>
        </w:trPr>
        <w:tc>
          <w:tcPr>
            <w:tcW w:w="700" w:type="dxa"/>
          </w:tcPr>
          <w:p w14:paraId="67EC4E4C"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11.</w:t>
            </w:r>
          </w:p>
        </w:tc>
        <w:tc>
          <w:tcPr>
            <w:tcW w:w="3660" w:type="dxa"/>
          </w:tcPr>
          <w:p w14:paraId="6F84B3AA" w14:textId="77777777" w:rsidR="003225EF" w:rsidRPr="0068644D" w:rsidRDefault="003225EF" w:rsidP="00A96C1C">
            <w:pPr>
              <w:widowControl w:val="0"/>
              <w:shd w:val="clear" w:color="auto" w:fill="FFFFFF"/>
              <w:spacing w:line="254" w:lineRule="auto"/>
              <w:jc w:val="both"/>
              <w:rPr>
                <w:rFonts w:ascii="Times New Roman" w:hAnsi="Times New Roman"/>
                <w:sz w:val="22"/>
                <w:szCs w:val="22"/>
                <w:lang w:eastAsia="lt-LT"/>
              </w:rPr>
            </w:pPr>
            <w:r w:rsidRPr="0068644D">
              <w:rPr>
                <w:rFonts w:ascii="Times New Roman" w:hAnsi="Times New Roman"/>
                <w:sz w:val="22"/>
                <w:szCs w:val="22"/>
              </w:rPr>
              <w:t>Ar įrengimai ir įranga (talpos, laikymo / gabenimo talpyklos ir kt.) švarios,</w:t>
            </w:r>
            <w:r w:rsidRPr="0068644D">
              <w:rPr>
                <w:rFonts w:ascii="Times New Roman" w:hAnsi="Times New Roman"/>
                <w:sz w:val="22"/>
                <w:szCs w:val="22"/>
                <w:lang w:eastAsia="lt-LT"/>
              </w:rPr>
              <w:t xml:space="preserve"> valymas, dezinfekcija vykdomi pagal rašytines instrukcijas / programas, yra atliktų darbų įrašai</w:t>
            </w:r>
            <w:r w:rsidRPr="0068644D">
              <w:rPr>
                <w:rFonts w:ascii="Times New Roman" w:hAnsi="Times New Roman"/>
                <w:sz w:val="22"/>
                <w:szCs w:val="22"/>
              </w:rPr>
              <w:t>?</w:t>
            </w:r>
          </w:p>
        </w:tc>
        <w:tc>
          <w:tcPr>
            <w:tcW w:w="2880" w:type="dxa"/>
          </w:tcPr>
          <w:p w14:paraId="50ED7CD7" w14:textId="77777777" w:rsidR="003225EF" w:rsidRPr="00F969F2" w:rsidRDefault="003225EF" w:rsidP="00A96C1C">
            <w:pPr>
              <w:widowControl w:val="0"/>
              <w:shd w:val="clear" w:color="auto" w:fill="FFFFFF"/>
              <w:spacing w:line="254" w:lineRule="auto"/>
              <w:rPr>
                <w:rFonts w:ascii="Times New Roman" w:hAnsi="Times New Roman"/>
                <w:sz w:val="22"/>
                <w:szCs w:val="22"/>
                <w:lang w:val="pt-BR" w:eastAsia="lt-LT"/>
              </w:rPr>
            </w:pPr>
            <w:hyperlink r:id="rId20"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pt-BR"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Reikmenys ir įranga</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1 punktas,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Sandėliavimas ir gabenimas</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4 punktas</w:t>
            </w:r>
          </w:p>
        </w:tc>
        <w:tc>
          <w:tcPr>
            <w:tcW w:w="720" w:type="dxa"/>
            <w:shd w:val="clear" w:color="auto" w:fill="FFFFFF"/>
          </w:tcPr>
          <w:p w14:paraId="41DB1627"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0CEDAC0A"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14EDB541"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7E4F4C3C"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[Vykdomam procesui būdingas nešvarumų lygis galimas, tačiau neturi būti nešvarumų sluoksnių ar kitų požymių, rodančių, kad reguliarus valymas nėra atliekamas (didelis kiekis, seni nešvarumai).]</w:t>
            </w:r>
          </w:p>
        </w:tc>
      </w:tr>
      <w:tr w:rsidR="003225EF" w:rsidRPr="003E3BB7" w14:paraId="6579E0D2" w14:textId="77777777" w:rsidTr="00A96C1C">
        <w:trPr>
          <w:cantSplit/>
          <w:trHeight w:val="22"/>
        </w:trPr>
        <w:tc>
          <w:tcPr>
            <w:tcW w:w="700" w:type="dxa"/>
          </w:tcPr>
          <w:p w14:paraId="222537DA"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12.</w:t>
            </w:r>
          </w:p>
        </w:tc>
        <w:tc>
          <w:tcPr>
            <w:tcW w:w="3660" w:type="dxa"/>
          </w:tcPr>
          <w:p w14:paraId="08DC64B0" w14:textId="77777777" w:rsidR="003225EF" w:rsidRPr="00034A68" w:rsidRDefault="003225EF" w:rsidP="00A96C1C">
            <w:pPr>
              <w:widowControl w:val="0"/>
              <w:shd w:val="clear" w:color="auto" w:fill="FFFFFF"/>
              <w:spacing w:line="254" w:lineRule="auto"/>
              <w:jc w:val="both"/>
              <w:rPr>
                <w:rFonts w:ascii="Times New Roman" w:hAnsi="Times New Roman"/>
                <w:sz w:val="22"/>
                <w:szCs w:val="22"/>
                <w:lang w:val="fi-FI" w:eastAsia="lt-LT"/>
              </w:rPr>
            </w:pPr>
            <w:r w:rsidRPr="00034A68">
              <w:rPr>
                <w:rFonts w:ascii="Times New Roman" w:hAnsi="Times New Roman"/>
                <w:sz w:val="22"/>
                <w:szCs w:val="22"/>
                <w:lang w:val="fi-FI" w:eastAsia="lt-LT"/>
              </w:rPr>
              <w:t>Ar patalpose yra pakankamas apšvietimas?</w:t>
            </w:r>
          </w:p>
        </w:tc>
        <w:tc>
          <w:tcPr>
            <w:tcW w:w="2880" w:type="dxa"/>
          </w:tcPr>
          <w:p w14:paraId="0A0F7A26"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hyperlink r:id="rId21"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034A68">
              <w:rPr>
                <w:rFonts w:ascii="Times New Roman" w:hAnsi="Times New Roman"/>
                <w:sz w:val="22"/>
                <w:szCs w:val="22"/>
                <w:lang w:val="fi-FI" w:eastAsia="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fi-FI" w:eastAsia="lt-LT"/>
              </w:rPr>
              <w:t>Reikmenys ir įranga</w:t>
            </w:r>
            <w:r w:rsidRPr="2918FE7E">
              <w:rPr>
                <w:rFonts w:ascii="Times New Roman" w:hAnsi="Times New Roman"/>
                <w:sz w:val="24"/>
                <w:szCs w:val="24"/>
                <w:lang w:val="lt-LT"/>
              </w:rPr>
              <w:t>“</w:t>
            </w:r>
            <w:r>
              <w:rPr>
                <w:rFonts w:ascii="Times New Roman" w:hAnsi="Times New Roman"/>
                <w:sz w:val="24"/>
                <w:szCs w:val="24"/>
                <w:lang w:val="lt-LT"/>
              </w:rPr>
              <w:t xml:space="preserve"> </w:t>
            </w:r>
            <w:r w:rsidRPr="00034A68">
              <w:rPr>
                <w:rFonts w:ascii="Times New Roman" w:hAnsi="Times New Roman"/>
                <w:sz w:val="22"/>
                <w:szCs w:val="22"/>
                <w:lang w:val="fi-FI" w:eastAsia="lt-LT"/>
              </w:rPr>
              <w:t>4 dalis</w:t>
            </w:r>
          </w:p>
        </w:tc>
        <w:tc>
          <w:tcPr>
            <w:tcW w:w="720" w:type="dxa"/>
            <w:shd w:val="clear" w:color="auto" w:fill="FFFFFF"/>
          </w:tcPr>
          <w:p w14:paraId="0ECDBEDA"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061F69C5"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E29635C"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14D5B47D"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Patalpose natūrali ir (ar) dirbtinė šviesa turi būti tokia, kad pašarų tvarkymo procesas vyktų sklandžiai.</w:t>
            </w:r>
            <w:r w:rsidRPr="00B37C29">
              <w:rPr>
                <w:rFonts w:ascii="Times New Roman" w:hAnsi="Times New Roman"/>
                <w:color w:val="215E99"/>
                <w:sz w:val="22"/>
                <w:szCs w:val="22"/>
                <w:lang w:val="lt-LT"/>
              </w:rPr>
              <w:t>]</w:t>
            </w:r>
          </w:p>
        </w:tc>
      </w:tr>
      <w:tr w:rsidR="003225EF" w:rsidRPr="003E3BB7" w14:paraId="628A65AE" w14:textId="77777777" w:rsidTr="00A96C1C">
        <w:trPr>
          <w:cantSplit/>
          <w:trHeight w:val="22"/>
        </w:trPr>
        <w:tc>
          <w:tcPr>
            <w:tcW w:w="700" w:type="dxa"/>
          </w:tcPr>
          <w:p w14:paraId="0FB2C816"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13.</w:t>
            </w:r>
          </w:p>
        </w:tc>
        <w:tc>
          <w:tcPr>
            <w:tcW w:w="3660" w:type="dxa"/>
          </w:tcPr>
          <w:p w14:paraId="58B2A7C4" w14:textId="77777777" w:rsidR="003225EF" w:rsidRPr="0068644D" w:rsidRDefault="003225EF" w:rsidP="00A96C1C">
            <w:pPr>
              <w:widowControl w:val="0"/>
              <w:shd w:val="clear" w:color="auto" w:fill="FFFFFF"/>
              <w:spacing w:line="254" w:lineRule="auto"/>
              <w:jc w:val="both"/>
              <w:rPr>
                <w:rFonts w:ascii="Times New Roman" w:hAnsi="Times New Roman"/>
                <w:sz w:val="22"/>
                <w:szCs w:val="22"/>
                <w:lang w:eastAsia="lt-LT"/>
              </w:rPr>
            </w:pPr>
            <w:r w:rsidRPr="0068644D">
              <w:rPr>
                <w:rFonts w:ascii="Times New Roman" w:hAnsi="Times New Roman"/>
                <w:sz w:val="22"/>
                <w:szCs w:val="22"/>
                <w:lang w:eastAsia="lt-LT"/>
              </w:rPr>
              <w:t>Ar drenažas tinkamas, nuotekos ir lietaus vanduo, atliekos ir medžiagos ne</w:t>
            </w:r>
            <w:r>
              <w:rPr>
                <w:rFonts w:ascii="Times New Roman" w:hAnsi="Times New Roman"/>
                <w:sz w:val="22"/>
                <w:szCs w:val="22"/>
                <w:lang w:eastAsia="lt-LT"/>
              </w:rPr>
              <w:t xml:space="preserve">skirtos </w:t>
            </w:r>
            <w:r w:rsidRPr="0068644D">
              <w:rPr>
                <w:rFonts w:ascii="Times New Roman" w:hAnsi="Times New Roman"/>
                <w:sz w:val="22"/>
                <w:szCs w:val="22"/>
                <w:lang w:eastAsia="lt-LT"/>
              </w:rPr>
              <w:t xml:space="preserve">pašarams tvarkomi ir pašalinami taip, kad nebūtų pakenkta pašarų saugai </w:t>
            </w:r>
            <w:r>
              <w:rPr>
                <w:rFonts w:ascii="Times New Roman" w:hAnsi="Times New Roman"/>
                <w:sz w:val="22"/>
                <w:szCs w:val="22"/>
                <w:lang w:eastAsia="lt-LT"/>
              </w:rPr>
              <w:t>ir</w:t>
            </w:r>
            <w:r w:rsidRPr="0068644D">
              <w:rPr>
                <w:rFonts w:ascii="Times New Roman" w:hAnsi="Times New Roman"/>
                <w:sz w:val="22"/>
                <w:szCs w:val="22"/>
                <w:lang w:eastAsia="lt-LT"/>
              </w:rPr>
              <w:t xml:space="preserve"> kokybei?</w:t>
            </w:r>
          </w:p>
        </w:tc>
        <w:tc>
          <w:tcPr>
            <w:tcW w:w="2880" w:type="dxa"/>
          </w:tcPr>
          <w:p w14:paraId="58DAF7BF" w14:textId="77777777" w:rsidR="003225EF" w:rsidRPr="00F969F2" w:rsidRDefault="003225EF" w:rsidP="00A96C1C">
            <w:pPr>
              <w:widowControl w:val="0"/>
              <w:shd w:val="clear" w:color="auto" w:fill="FFFFFF"/>
              <w:spacing w:line="254" w:lineRule="auto"/>
              <w:rPr>
                <w:rFonts w:ascii="Times New Roman" w:hAnsi="Times New Roman"/>
                <w:sz w:val="22"/>
                <w:szCs w:val="22"/>
                <w:lang w:val="pt-BR" w:eastAsia="lt-LT"/>
              </w:rPr>
            </w:pPr>
            <w:hyperlink r:id="rId22"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F969F2">
              <w:rPr>
                <w:rFonts w:ascii="Times New Roman" w:hAnsi="Times New Roman"/>
                <w:sz w:val="22"/>
                <w:szCs w:val="22"/>
                <w:lang w:val="pt-BR" w:eastAsia="lt-LT"/>
              </w:rPr>
              <w:t xml:space="preserve">II priedo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Reikmenys ir įranga</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5, 7 dalys, skyriaus </w:t>
            </w:r>
            <w:r w:rsidRPr="2918FE7E">
              <w:rPr>
                <w:rFonts w:ascii="Times New Roman" w:hAnsi="Times New Roman"/>
                <w:sz w:val="24"/>
                <w:szCs w:val="24"/>
                <w:lang w:val="lt-LT"/>
              </w:rPr>
              <w:t>„</w:t>
            </w:r>
            <w:r w:rsidRPr="00F969F2">
              <w:rPr>
                <w:rFonts w:ascii="Times New Roman" w:hAnsi="Times New Roman"/>
                <w:sz w:val="22"/>
                <w:szCs w:val="22"/>
                <w:lang w:val="pt-BR" w:eastAsia="lt-LT"/>
              </w:rPr>
              <w:t>Sandėliavimas ir gabenimas</w:t>
            </w:r>
            <w:r w:rsidRPr="2918FE7E">
              <w:rPr>
                <w:rFonts w:ascii="Times New Roman" w:hAnsi="Times New Roman"/>
                <w:sz w:val="24"/>
                <w:szCs w:val="24"/>
                <w:lang w:val="lt-LT"/>
              </w:rPr>
              <w:t>“</w:t>
            </w:r>
            <w:r w:rsidRPr="00F969F2">
              <w:rPr>
                <w:rFonts w:ascii="Times New Roman" w:hAnsi="Times New Roman"/>
                <w:sz w:val="22"/>
                <w:szCs w:val="22"/>
                <w:lang w:val="pt-BR" w:eastAsia="lt-LT"/>
              </w:rPr>
              <w:t xml:space="preserve"> 5 dalis</w:t>
            </w:r>
          </w:p>
        </w:tc>
        <w:tc>
          <w:tcPr>
            <w:tcW w:w="720" w:type="dxa"/>
            <w:shd w:val="clear" w:color="auto" w:fill="FFFFFF"/>
          </w:tcPr>
          <w:p w14:paraId="635F49A7"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599981C1"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7113AD24"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1AE62ABA" w14:textId="77777777" w:rsidR="003225EF" w:rsidRPr="00B37C29" w:rsidRDefault="003225EF"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Žaliavos ir galutiniai produktai, įranga turi būti apsaugoti nuo sąlyčio su vandeniu, nuotekomis ar lietaus vandeniu.</w:t>
            </w:r>
          </w:p>
          <w:p w14:paraId="0B01E3BC"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eastAsia="lt-LT"/>
              </w:rPr>
              <w:t>Atliekos, pašarams neskirtos medžiagos, turi būti atskiriamos, pažymimos ir savalaikiai šalinamos.</w:t>
            </w:r>
            <w:r w:rsidRPr="00B37C29">
              <w:rPr>
                <w:rFonts w:ascii="Times New Roman" w:hAnsi="Times New Roman"/>
                <w:color w:val="215E99"/>
                <w:sz w:val="22"/>
                <w:szCs w:val="22"/>
                <w:lang w:val="lt-LT"/>
              </w:rPr>
              <w:t>]</w:t>
            </w:r>
          </w:p>
        </w:tc>
      </w:tr>
      <w:tr w:rsidR="003225EF" w:rsidRPr="00B37C29" w14:paraId="44A227E2" w14:textId="77777777" w:rsidTr="00A96C1C">
        <w:trPr>
          <w:cantSplit/>
          <w:trHeight w:val="22"/>
        </w:trPr>
        <w:tc>
          <w:tcPr>
            <w:tcW w:w="700" w:type="dxa"/>
          </w:tcPr>
          <w:p w14:paraId="726BC1DD" w14:textId="77777777" w:rsidR="003225EF" w:rsidRPr="0068644D" w:rsidRDefault="003225EF" w:rsidP="00A96C1C">
            <w:pPr>
              <w:widowControl w:val="0"/>
              <w:shd w:val="clear" w:color="auto" w:fill="FFFFFF"/>
              <w:spacing w:line="254" w:lineRule="auto"/>
              <w:contextualSpacing/>
              <w:jc w:val="center"/>
              <w:rPr>
                <w:rFonts w:ascii="Times New Roman" w:hAnsi="Times New Roman"/>
                <w:kern w:val="2"/>
                <w:sz w:val="22"/>
                <w:szCs w:val="22"/>
              </w:rPr>
            </w:pPr>
            <w:r>
              <w:rPr>
                <w:rFonts w:ascii="Times New Roman" w:hAnsi="Times New Roman"/>
                <w:kern w:val="2"/>
                <w:sz w:val="22"/>
                <w:szCs w:val="22"/>
              </w:rPr>
              <w:t>14.</w:t>
            </w:r>
          </w:p>
        </w:tc>
        <w:tc>
          <w:tcPr>
            <w:tcW w:w="3660" w:type="dxa"/>
          </w:tcPr>
          <w:p w14:paraId="2AF92C94" w14:textId="77777777" w:rsidR="003225EF" w:rsidRPr="0068644D" w:rsidRDefault="003225EF" w:rsidP="00A96C1C">
            <w:pPr>
              <w:widowControl w:val="0"/>
              <w:shd w:val="clear" w:color="auto" w:fill="FFFFFF"/>
              <w:spacing w:line="254" w:lineRule="auto"/>
              <w:jc w:val="both"/>
              <w:rPr>
                <w:rFonts w:ascii="Times New Roman" w:hAnsi="Times New Roman"/>
                <w:sz w:val="22"/>
                <w:szCs w:val="22"/>
                <w:lang w:eastAsia="lt-LT"/>
              </w:rPr>
            </w:pPr>
            <w:r w:rsidRPr="0068644D">
              <w:rPr>
                <w:rFonts w:ascii="Times New Roman" w:hAnsi="Times New Roman"/>
                <w:sz w:val="22"/>
                <w:szCs w:val="22"/>
                <w:lang w:eastAsia="lt-LT"/>
              </w:rPr>
              <w:t>Ar kenkėjų kontrolė vykdoma pagal rašytinę kenkėjų kontrolės programą, ar priemonės tinkamos ir ar nėra matomų kenkėjų veiklos požymių?</w:t>
            </w:r>
          </w:p>
        </w:tc>
        <w:tc>
          <w:tcPr>
            <w:tcW w:w="2880" w:type="dxa"/>
          </w:tcPr>
          <w:p w14:paraId="342FF5D2" w14:textId="77777777" w:rsidR="003225EF" w:rsidRPr="00034A68" w:rsidRDefault="003225EF" w:rsidP="00A96C1C">
            <w:pPr>
              <w:spacing w:before="100" w:beforeAutospacing="1" w:after="100" w:afterAutospacing="1"/>
              <w:rPr>
                <w:rFonts w:ascii="Times New Roman" w:hAnsi="Times New Roman"/>
                <w:sz w:val="22"/>
                <w:szCs w:val="22"/>
                <w:lang w:eastAsia="lt-LT"/>
              </w:rPr>
            </w:pPr>
            <w:hyperlink r:id="rId23" w:history="1">
              <w:r w:rsidRPr="00C72C2F">
                <w:rPr>
                  <w:rStyle w:val="Hyperlink"/>
                  <w:rFonts w:ascii="Times New Roman" w:eastAsiaTheme="majorEastAsia" w:hAnsi="Times New Roman"/>
                  <w:sz w:val="22"/>
                  <w:szCs w:val="22"/>
                  <w:lang w:eastAsia="lt-LT"/>
                </w:rPr>
                <w:t>[3]</w:t>
              </w:r>
            </w:hyperlink>
            <w:r w:rsidRPr="002B060A">
              <w:rPr>
                <w:rFonts w:ascii="Times New Roman" w:hAnsi="Times New Roman"/>
                <w:sz w:val="22"/>
                <w:szCs w:val="22"/>
                <w:lang w:eastAsia="lt-LT"/>
              </w:rPr>
              <w:t xml:space="preserve"> </w:t>
            </w:r>
            <w:r w:rsidRPr="00034A68">
              <w:rPr>
                <w:rFonts w:ascii="Times New Roman" w:hAnsi="Times New Roman"/>
                <w:sz w:val="22"/>
                <w:szCs w:val="22"/>
                <w:lang w:eastAsia="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eastAsia="lt-LT"/>
              </w:rPr>
              <w:t>Reikmenys ir įranga</w:t>
            </w:r>
            <w:r w:rsidRPr="2918FE7E">
              <w:rPr>
                <w:rFonts w:ascii="Times New Roman" w:hAnsi="Times New Roman"/>
                <w:sz w:val="24"/>
                <w:szCs w:val="24"/>
                <w:lang w:val="lt-LT"/>
              </w:rPr>
              <w:t>“</w:t>
            </w:r>
            <w:r w:rsidRPr="00034A68">
              <w:rPr>
                <w:rFonts w:ascii="Times New Roman" w:hAnsi="Times New Roman"/>
                <w:sz w:val="22"/>
                <w:szCs w:val="22"/>
                <w:lang w:eastAsia="lt-LT"/>
              </w:rPr>
              <w:t xml:space="preserve"> 1, 7, 8 dalys, skyriaus </w:t>
            </w:r>
            <w:r w:rsidRPr="2918FE7E">
              <w:rPr>
                <w:rFonts w:ascii="Times New Roman" w:hAnsi="Times New Roman"/>
                <w:sz w:val="24"/>
                <w:szCs w:val="24"/>
                <w:lang w:val="lt-LT"/>
              </w:rPr>
              <w:t>„</w:t>
            </w:r>
            <w:r w:rsidRPr="00034A68">
              <w:rPr>
                <w:rFonts w:ascii="Times New Roman" w:hAnsi="Times New Roman"/>
                <w:sz w:val="22"/>
                <w:szCs w:val="22"/>
                <w:lang w:eastAsia="lt-LT"/>
              </w:rPr>
              <w:t>Sandėliavimas ir gabenimas</w:t>
            </w:r>
            <w:r w:rsidRPr="2918FE7E">
              <w:rPr>
                <w:rFonts w:ascii="Times New Roman" w:hAnsi="Times New Roman"/>
                <w:sz w:val="24"/>
                <w:szCs w:val="24"/>
                <w:lang w:val="lt-LT"/>
              </w:rPr>
              <w:t>“</w:t>
            </w:r>
            <w:r w:rsidRPr="00034A68">
              <w:rPr>
                <w:rFonts w:ascii="Times New Roman" w:hAnsi="Times New Roman"/>
                <w:sz w:val="22"/>
                <w:szCs w:val="22"/>
                <w:lang w:eastAsia="lt-LT"/>
              </w:rPr>
              <w:t xml:space="preserve"> 5 dalis</w:t>
            </w:r>
          </w:p>
          <w:p w14:paraId="2EF63AC7" w14:textId="77777777" w:rsidR="003225EF" w:rsidRPr="002B060A"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3739B4B1"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720" w:type="dxa"/>
            <w:shd w:val="clear" w:color="auto" w:fill="FFFFFF"/>
          </w:tcPr>
          <w:p w14:paraId="3BD5C052"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1425" w:type="dxa"/>
            <w:shd w:val="clear" w:color="auto" w:fill="FFFFFF"/>
          </w:tcPr>
          <w:p w14:paraId="123FD159" w14:textId="77777777" w:rsidR="003225EF" w:rsidRPr="0068644D" w:rsidRDefault="003225EF" w:rsidP="00A96C1C">
            <w:pPr>
              <w:widowControl w:val="0"/>
              <w:shd w:val="clear" w:color="auto" w:fill="FFFFFF"/>
              <w:spacing w:line="254" w:lineRule="auto"/>
              <w:rPr>
                <w:rFonts w:ascii="Times New Roman" w:hAnsi="Times New Roman"/>
                <w:kern w:val="2"/>
                <w:sz w:val="22"/>
                <w:szCs w:val="22"/>
                <w:lang w:val="lt-LT" w:eastAsia="en-US"/>
              </w:rPr>
            </w:pPr>
          </w:p>
        </w:tc>
        <w:tc>
          <w:tcPr>
            <w:tcW w:w="4394" w:type="dxa"/>
            <w:shd w:val="clear" w:color="auto" w:fill="FFFFFF"/>
          </w:tcPr>
          <w:p w14:paraId="354F08B7" w14:textId="77777777" w:rsidR="003225EF" w:rsidRPr="00087D88" w:rsidRDefault="003225EF" w:rsidP="00A96C1C">
            <w:pPr>
              <w:pStyle w:val="NormalWeb"/>
              <w:spacing w:before="0" w:beforeAutospacing="0" w:after="0" w:afterAutospacing="0"/>
              <w:jc w:val="both"/>
              <w:rPr>
                <w:color w:val="215E99"/>
                <w:sz w:val="22"/>
                <w:szCs w:val="22"/>
              </w:rPr>
            </w:pPr>
            <w:r w:rsidRPr="00087D88">
              <w:rPr>
                <w:color w:val="215E99"/>
                <w:sz w:val="22"/>
                <w:szCs w:val="22"/>
              </w:rPr>
              <w:t xml:space="preserve">[Turi būti pateikta kenkėjų kontrolės programa ir įrašai apie priimtas priemones. </w:t>
            </w:r>
          </w:p>
          <w:p w14:paraId="340E35F7" w14:textId="77777777" w:rsidR="003225EF" w:rsidRPr="00087D88" w:rsidRDefault="003225EF" w:rsidP="00A96C1C">
            <w:pPr>
              <w:pStyle w:val="NormalWeb"/>
              <w:spacing w:before="0" w:beforeAutospacing="0" w:after="0" w:afterAutospacing="0"/>
              <w:jc w:val="both"/>
              <w:rPr>
                <w:color w:val="215E99"/>
                <w:sz w:val="22"/>
                <w:szCs w:val="22"/>
              </w:rPr>
            </w:pPr>
            <w:r w:rsidRPr="00087D88">
              <w:rPr>
                <w:color w:val="215E99"/>
                <w:sz w:val="22"/>
                <w:szCs w:val="22"/>
              </w:rPr>
              <w:t xml:space="preserve">Durys turi būti visiškai užsidarančios ir laikomos, kai nenaudojamos, uždarytos. </w:t>
            </w:r>
          </w:p>
          <w:p w14:paraId="20390446" w14:textId="77777777" w:rsidR="003225EF" w:rsidRPr="00087D88" w:rsidRDefault="003225EF" w:rsidP="00A96C1C">
            <w:pPr>
              <w:pStyle w:val="NormalWeb"/>
              <w:spacing w:before="0" w:beforeAutospacing="0" w:after="0" w:afterAutospacing="0"/>
              <w:jc w:val="both"/>
              <w:rPr>
                <w:color w:val="215E99"/>
                <w:sz w:val="22"/>
                <w:szCs w:val="22"/>
              </w:rPr>
            </w:pPr>
            <w:r w:rsidRPr="00087D88">
              <w:rPr>
                <w:color w:val="215E99"/>
                <w:sz w:val="22"/>
                <w:szCs w:val="22"/>
              </w:rPr>
              <w:t>Langai ir kitos angos turi būti apsaugotos nuo kenkėjų patekimo.</w:t>
            </w:r>
          </w:p>
          <w:p w14:paraId="4665A61B" w14:textId="77777777" w:rsidR="003225EF" w:rsidRPr="00B37C29" w:rsidRDefault="003225EF"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Sugedusi produkcija, gamybos atliekos ir dulkės turi būti laikomos taip, kad jos nepasiektų parazitai.]</w:t>
            </w:r>
          </w:p>
        </w:tc>
      </w:tr>
    </w:tbl>
    <w:p w14:paraId="1BE0ED49" w14:textId="77777777" w:rsidR="003225EF" w:rsidRPr="00B37C29" w:rsidRDefault="003225EF" w:rsidP="003225EF">
      <w:pPr>
        <w:jc w:val="both"/>
        <w:rPr>
          <w:rFonts w:ascii="Times New Roman" w:hAnsi="Times New Roman"/>
          <w:bCs/>
          <w:lang w:val="lt-LT"/>
        </w:rPr>
      </w:pPr>
    </w:p>
    <w:p w14:paraId="1EFBB761" w14:textId="77777777" w:rsidR="003225EF" w:rsidRPr="00B37C29" w:rsidRDefault="003225EF" w:rsidP="003225EF">
      <w:pPr>
        <w:ind w:right="828"/>
        <w:jc w:val="both"/>
        <w:rPr>
          <w:rFonts w:ascii="Times New Roman" w:hAnsi="Times New Roman"/>
          <w:bCs/>
          <w:sz w:val="22"/>
          <w:szCs w:val="22"/>
          <w:lang w:val="lt-LT"/>
        </w:rPr>
      </w:pPr>
      <w:r w:rsidRPr="00B37C29">
        <w:rPr>
          <w:rFonts w:ascii="Times New Roman" w:hAnsi="Times New Roman"/>
          <w:bCs/>
          <w:sz w:val="22"/>
          <w:szCs w:val="22"/>
          <w:lang w:val="lt-LT"/>
        </w:rPr>
        <w:t>Teisės aktų, pagal kuriuos atliekamas reikalavimo atitikties įvertinimas, sąrašas:</w:t>
      </w:r>
    </w:p>
    <w:p w14:paraId="39B6BE02" w14:textId="77777777" w:rsidR="003225EF" w:rsidRPr="00B37C29" w:rsidRDefault="003225EF" w:rsidP="003225EF">
      <w:pPr>
        <w:ind w:right="828"/>
        <w:jc w:val="both"/>
        <w:rPr>
          <w:rFonts w:ascii="Times New Roman" w:hAnsi="Times New Roman"/>
          <w:bCs/>
          <w:sz w:val="22"/>
          <w:szCs w:val="22"/>
          <w:lang w:val="lt-LT"/>
        </w:rPr>
      </w:pPr>
    </w:p>
    <w:p w14:paraId="32A42E4A" w14:textId="77777777" w:rsidR="003225EF" w:rsidRPr="004D2426" w:rsidRDefault="003225EF" w:rsidP="003225EF">
      <w:pPr>
        <w:pStyle w:val="ListParagraph"/>
        <w:numPr>
          <w:ilvl w:val="0"/>
          <w:numId w:val="1"/>
        </w:numPr>
        <w:ind w:right="828"/>
        <w:jc w:val="both"/>
        <w:rPr>
          <w:rFonts w:ascii="Times New Roman" w:hAnsi="Times New Roman"/>
          <w:bCs/>
        </w:rPr>
      </w:pPr>
      <w:r w:rsidRPr="004D2426">
        <w:rPr>
          <w:rFonts w:ascii="Times New Roman" w:hAnsi="Times New Roman"/>
          <w:shd w:val="clear" w:color="auto" w:fill="FFFFFF"/>
        </w:rPr>
        <w:lastRenderedPageBreak/>
        <w:t>2001 m. gegužės 22 d. Europos Parlamento ir Tarybos reglamentas (EB) Nr. 999/2001 nustatantis tam tikrų užkrečiamųjų spongiforminių encefalopatijų prevencijos, kontrolės ir likvidavimo taisykles;</w:t>
      </w:r>
    </w:p>
    <w:p w14:paraId="5F90A55F" w14:textId="77777777" w:rsidR="003225EF" w:rsidRPr="004D2426" w:rsidRDefault="003225EF" w:rsidP="003225EF">
      <w:pPr>
        <w:ind w:left="720" w:right="828"/>
        <w:contextualSpacing/>
        <w:jc w:val="both"/>
        <w:rPr>
          <w:rFonts w:ascii="Times New Roman" w:hAnsi="Times New Roman"/>
          <w:snapToGrid w:val="0"/>
          <w:sz w:val="22"/>
          <w:szCs w:val="22"/>
          <w:u w:val="single"/>
          <w:lang w:val="lt-LT"/>
        </w:rPr>
      </w:pPr>
      <w:hyperlink r:id="rId24" w:history="1">
        <w:r w:rsidRPr="004D2426">
          <w:rPr>
            <w:rStyle w:val="Hyperlink"/>
            <w:rFonts w:ascii="Times New Roman" w:eastAsiaTheme="majorEastAsia" w:hAnsi="Times New Roman"/>
            <w:snapToGrid w:val="0"/>
            <w:color w:val="auto"/>
            <w:sz w:val="22"/>
            <w:szCs w:val="22"/>
            <w:lang w:val="lt-LT"/>
          </w:rPr>
          <w:t>https://eur-lex.europa.eu/legal-content/LT/TXT/HTML/?uri=CELEX:02001R0999-20250312</w:t>
        </w:r>
      </w:hyperlink>
    </w:p>
    <w:p w14:paraId="4B251B35" w14:textId="77777777" w:rsidR="003225EF" w:rsidRPr="004D2426" w:rsidRDefault="003225EF" w:rsidP="003225EF">
      <w:pPr>
        <w:numPr>
          <w:ilvl w:val="0"/>
          <w:numId w:val="1"/>
        </w:numPr>
        <w:ind w:right="828"/>
        <w:jc w:val="both"/>
        <w:rPr>
          <w:rFonts w:ascii="Times New Roman" w:hAnsi="Times New Roman"/>
          <w:bCs/>
          <w:sz w:val="22"/>
          <w:szCs w:val="22"/>
          <w:lang w:val="lt-LT"/>
        </w:rPr>
      </w:pPr>
      <w:r w:rsidRPr="004D2426">
        <w:rPr>
          <w:rFonts w:ascii="Times New Roman" w:hAnsi="Times New Roman"/>
          <w:bCs/>
          <w:sz w:val="22"/>
          <w:szCs w:val="22"/>
          <w:lang w:val="lt-LT" w:eastAsia="lt-LT"/>
        </w:rPr>
        <w:t>2002 m. sausio 22 d. Europos Parlamento ir Tarybos reglamentas (EB) Nr. 178/2002, nustatantis maistui skirtų teisės aktų bendruosius principus ir reikalavimus, įsteigiantis Europos maisto saugos tarnybą ir nustatantis su maisto saugos klausimais susijusias procedūras;</w:t>
      </w:r>
    </w:p>
    <w:p w14:paraId="69919718" w14:textId="77777777" w:rsidR="003225EF" w:rsidRPr="004D2426" w:rsidRDefault="003225EF" w:rsidP="003225EF">
      <w:pPr>
        <w:ind w:left="720" w:right="828"/>
        <w:jc w:val="both"/>
      </w:pPr>
      <w:hyperlink r:id="rId25" w:history="1">
        <w:r w:rsidRPr="004D2426">
          <w:rPr>
            <w:rStyle w:val="Hyperlink"/>
            <w:rFonts w:ascii="Times New Roman" w:eastAsiaTheme="majorEastAsia" w:hAnsi="Times New Roman"/>
            <w:color w:val="auto"/>
            <w:sz w:val="22"/>
            <w:szCs w:val="22"/>
          </w:rPr>
          <w:t>https://eur-lex.europa.eu/legal-content/LT/TXT/HTML/?uri=CELEX:02002R0178-20260101</w:t>
        </w:r>
      </w:hyperlink>
    </w:p>
    <w:p w14:paraId="115E6191" w14:textId="77777777" w:rsidR="003225EF" w:rsidRPr="004D2426" w:rsidRDefault="003225EF" w:rsidP="003225EF">
      <w:pPr>
        <w:numPr>
          <w:ilvl w:val="0"/>
          <w:numId w:val="1"/>
        </w:numPr>
        <w:ind w:right="828"/>
        <w:jc w:val="both"/>
        <w:rPr>
          <w:rFonts w:ascii="Times New Roman" w:hAnsi="Times New Roman"/>
          <w:bCs/>
          <w:sz w:val="22"/>
          <w:szCs w:val="22"/>
          <w:lang w:val="fi-FI"/>
        </w:rPr>
      </w:pPr>
      <w:r w:rsidRPr="004D2426">
        <w:rPr>
          <w:rFonts w:ascii="Times New Roman" w:hAnsi="Times New Roman"/>
          <w:bCs/>
          <w:sz w:val="22"/>
          <w:szCs w:val="22"/>
          <w:lang w:val="fi-FI"/>
        </w:rPr>
        <w:t>2005 m. sausio 12 d. Europos Parlamento ir Tarybos reglamentas (EB) Nr. 183/2005, nustatantis pašarų higienos reikalavimus;</w:t>
      </w:r>
    </w:p>
    <w:p w14:paraId="6CD1B617" w14:textId="77777777" w:rsidR="003225EF" w:rsidRPr="004D2426" w:rsidRDefault="003225EF" w:rsidP="003225EF">
      <w:pPr>
        <w:ind w:left="720" w:right="828"/>
        <w:jc w:val="both"/>
        <w:rPr>
          <w:rFonts w:ascii="Times New Roman" w:hAnsi="Times New Roman"/>
          <w:bCs/>
          <w:sz w:val="22"/>
          <w:szCs w:val="22"/>
          <w:lang w:val="fi-FI"/>
        </w:rPr>
      </w:pPr>
      <w:hyperlink r:id="rId26" w:history="1">
        <w:r w:rsidRPr="004D2426">
          <w:rPr>
            <w:rFonts w:ascii="Times New Roman" w:hAnsi="Times New Roman"/>
            <w:sz w:val="22"/>
            <w:szCs w:val="22"/>
            <w:u w:val="single"/>
            <w:lang w:val="fi-FI"/>
          </w:rPr>
          <w:t>https://eur-lex.europa.eu/legal-content/LT/TXT/HTML/?uri=CELEX:02005R0183-20220128</w:t>
        </w:r>
      </w:hyperlink>
    </w:p>
    <w:p w14:paraId="444375F5" w14:textId="77777777" w:rsidR="003225EF" w:rsidRPr="004D2426" w:rsidRDefault="003225EF" w:rsidP="003225EF">
      <w:pPr>
        <w:numPr>
          <w:ilvl w:val="0"/>
          <w:numId w:val="1"/>
        </w:numPr>
        <w:ind w:right="828"/>
        <w:jc w:val="both"/>
        <w:rPr>
          <w:rFonts w:ascii="Times New Roman" w:hAnsi="Times New Roman"/>
          <w:bCs/>
          <w:sz w:val="22"/>
          <w:szCs w:val="22"/>
          <w:u w:val="single"/>
        </w:rPr>
      </w:pPr>
      <w:r w:rsidRPr="004D2426">
        <w:rPr>
          <w:rFonts w:ascii="Times New Roman" w:hAnsi="Times New Roman"/>
          <w:kern w:val="28"/>
          <w:sz w:val="22"/>
          <w:szCs w:val="22"/>
        </w:rPr>
        <w:t xml:space="preserve">Lietuvos Respublikos pašarų įstatymas; </w:t>
      </w:r>
    </w:p>
    <w:p w14:paraId="6B111D88" w14:textId="77777777" w:rsidR="003225EF" w:rsidRPr="004D2426" w:rsidRDefault="003225EF" w:rsidP="003225EF">
      <w:pPr>
        <w:ind w:left="720" w:right="828"/>
        <w:jc w:val="both"/>
        <w:rPr>
          <w:rFonts w:ascii="Times New Roman" w:hAnsi="Times New Roman"/>
          <w:kern w:val="28"/>
          <w:sz w:val="22"/>
          <w:szCs w:val="22"/>
        </w:rPr>
      </w:pPr>
      <w:hyperlink r:id="rId27" w:history="1">
        <w:r w:rsidRPr="004D2426">
          <w:rPr>
            <w:rStyle w:val="Hyperlink"/>
            <w:rFonts w:ascii="Times New Roman" w:eastAsiaTheme="majorEastAsia" w:hAnsi="Times New Roman"/>
            <w:color w:val="auto"/>
            <w:kern w:val="28"/>
            <w:sz w:val="22"/>
            <w:szCs w:val="22"/>
          </w:rPr>
          <w:t>https://www.e-tar.lt/portal/lt/legalAct/TAR.5B55C0654B4A/IoPylcMuKu</w:t>
        </w:r>
      </w:hyperlink>
    </w:p>
    <w:p w14:paraId="0AA6C8F8" w14:textId="77777777" w:rsidR="003225EF" w:rsidRPr="004D2426" w:rsidRDefault="003225EF" w:rsidP="003225EF">
      <w:pPr>
        <w:numPr>
          <w:ilvl w:val="0"/>
          <w:numId w:val="1"/>
        </w:numPr>
        <w:ind w:right="828"/>
        <w:contextualSpacing/>
        <w:jc w:val="both"/>
        <w:rPr>
          <w:rFonts w:ascii="Times New Roman" w:hAnsi="Times New Roman"/>
          <w:bCs/>
          <w:sz w:val="22"/>
          <w:szCs w:val="22"/>
        </w:rPr>
      </w:pPr>
      <w:r w:rsidRPr="004D2426">
        <w:rPr>
          <w:rFonts w:ascii="Times New Roman" w:hAnsi="Times New Roman"/>
          <w:sz w:val="22"/>
          <w:szCs w:val="22"/>
          <w:lang w:eastAsia="lt-LT"/>
        </w:rPr>
        <w:t>Valstybinės maisto ir veterinarijos tarnybos direktoriaus 2005 m. kovo 1 d. įsakymas Nr. B1-146 „</w:t>
      </w:r>
      <w:r w:rsidRPr="004D2426">
        <w:rPr>
          <w:rFonts w:ascii="Times New Roman" w:hAnsi="Times New Roman"/>
          <w:sz w:val="22"/>
          <w:szCs w:val="22"/>
          <w:shd w:val="clear" w:color="auto" w:fill="FFFFFF"/>
        </w:rPr>
        <w:t>Dėl Valstybinės veterinarinės kontrolės subjektų, išskyrus maisto tvarkymo subjektus, veterinarinio patvirtinimo ir įregistravimo tvarkos aprašo patvirtinimo“</w:t>
      </w:r>
      <w:r w:rsidRPr="004D2426">
        <w:rPr>
          <w:rFonts w:ascii="Times New Roman" w:hAnsi="Times New Roman"/>
          <w:sz w:val="22"/>
          <w:szCs w:val="22"/>
        </w:rPr>
        <w:t>;</w:t>
      </w:r>
    </w:p>
    <w:p w14:paraId="3B788E90" w14:textId="77777777" w:rsidR="003225EF" w:rsidRPr="004D2426" w:rsidRDefault="003225EF" w:rsidP="003225EF">
      <w:pPr>
        <w:ind w:left="720" w:right="828"/>
        <w:contextualSpacing/>
        <w:jc w:val="both"/>
        <w:rPr>
          <w:rFonts w:ascii="Times New Roman" w:hAnsi="Times New Roman"/>
          <w:bCs/>
          <w:sz w:val="22"/>
          <w:szCs w:val="22"/>
        </w:rPr>
      </w:pPr>
      <w:hyperlink r:id="rId28" w:history="1">
        <w:r w:rsidRPr="004D2426">
          <w:rPr>
            <w:rFonts w:ascii="Times New Roman" w:hAnsi="Times New Roman"/>
            <w:sz w:val="22"/>
            <w:szCs w:val="22"/>
            <w:u w:val="single"/>
          </w:rPr>
          <w:t>https://e-seimas.lrs.lt/portal/legalAct/lt/TAD/TAIS.251886/asr</w:t>
        </w:r>
      </w:hyperlink>
    </w:p>
    <w:p w14:paraId="1B01F432" w14:textId="77777777" w:rsidR="003225EF" w:rsidRPr="004D2426" w:rsidRDefault="003225EF" w:rsidP="003225EF">
      <w:pPr>
        <w:numPr>
          <w:ilvl w:val="0"/>
          <w:numId w:val="1"/>
        </w:numPr>
        <w:ind w:right="828"/>
        <w:jc w:val="both"/>
        <w:rPr>
          <w:rFonts w:ascii="Times New Roman" w:hAnsi="Times New Roman"/>
          <w:sz w:val="22"/>
          <w:szCs w:val="22"/>
        </w:rPr>
      </w:pPr>
      <w:r w:rsidRPr="004D2426">
        <w:rPr>
          <w:rFonts w:ascii="Times New Roman" w:hAnsi="Times New Roman"/>
          <w:sz w:val="22"/>
          <w:szCs w:val="22"/>
        </w:rPr>
        <w:t>Valstybinės maisto ir veterinarijos tarnybos direktoriaus 2015 m. balandžio 1 d. įsakymas Nr. B1-308 „</w:t>
      </w:r>
      <w:r w:rsidRPr="004D2426">
        <w:rPr>
          <w:rFonts w:ascii="Times New Roman" w:hAnsi="Times New Roman"/>
          <w:sz w:val="22"/>
          <w:szCs w:val="22"/>
          <w:shd w:val="clear" w:color="auto" w:fill="FFFFFF"/>
        </w:rPr>
        <w:t>Dėl Pranešimų apie nesaugų ar galimai nesaugų maistą, suklastotą maistą, su maistu besiliečiančius gaminius ir medžiagas ar pašarus teikimo reikalavimų patvirtinimo“.</w:t>
      </w:r>
    </w:p>
    <w:p w14:paraId="3501D963" w14:textId="77777777" w:rsidR="003225EF" w:rsidRPr="004D2426" w:rsidRDefault="003225EF" w:rsidP="003225EF">
      <w:pPr>
        <w:ind w:left="720" w:right="828"/>
        <w:jc w:val="both"/>
        <w:rPr>
          <w:rFonts w:ascii="Times New Roman" w:hAnsi="Times New Roman"/>
          <w:bCs/>
          <w:sz w:val="22"/>
          <w:szCs w:val="22"/>
        </w:rPr>
      </w:pPr>
      <w:hyperlink r:id="rId29" w:history="1">
        <w:r w:rsidRPr="004D2426">
          <w:rPr>
            <w:rFonts w:ascii="Times New Roman" w:hAnsi="Times New Roman"/>
            <w:bCs/>
            <w:sz w:val="22"/>
            <w:szCs w:val="22"/>
            <w:u w:val="single"/>
          </w:rPr>
          <w:t>https://e-seimas.lrs.lt/portal/legalAct/lt/TAD/d3347970d8d611e49a8e8a8aa8141086/asr</w:t>
        </w:r>
      </w:hyperlink>
    </w:p>
    <w:p w14:paraId="22FD7FC9" w14:textId="77777777" w:rsidR="003225EF" w:rsidRDefault="003225EF" w:rsidP="003225EF">
      <w:pPr>
        <w:ind w:left="9639" w:right="828"/>
        <w:rPr>
          <w:rFonts w:ascii="Times New Roman" w:hAnsi="Times New Roman"/>
          <w:sz w:val="24"/>
          <w:szCs w:val="24"/>
          <w:lang w:val="lt-LT"/>
        </w:rPr>
      </w:pPr>
    </w:p>
    <w:p w14:paraId="721C0D2B" w14:textId="77777777" w:rsidR="003225EF" w:rsidRDefault="003225EF" w:rsidP="003225EF">
      <w:pPr>
        <w:ind w:left="9639" w:right="828"/>
        <w:rPr>
          <w:rFonts w:ascii="Times New Roman" w:hAnsi="Times New Roman"/>
          <w:sz w:val="24"/>
          <w:szCs w:val="24"/>
          <w:lang w:val="lt-LT"/>
        </w:rPr>
      </w:pPr>
    </w:p>
    <w:p w14:paraId="393231F1" w14:textId="77777777" w:rsidR="003225EF" w:rsidRDefault="003225EF" w:rsidP="003225EF">
      <w:pPr>
        <w:ind w:left="9639" w:right="828"/>
        <w:rPr>
          <w:rFonts w:ascii="Times New Roman" w:hAnsi="Times New Roman"/>
          <w:sz w:val="24"/>
          <w:szCs w:val="24"/>
          <w:lang w:val="lt-LT"/>
        </w:rPr>
      </w:pPr>
    </w:p>
    <w:p w14:paraId="1BF6398A" w14:textId="77777777" w:rsidR="008C79E6" w:rsidRDefault="008C79E6"/>
    <w:sectPr w:rsidR="008C79E6" w:rsidSect="003225E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52A6A"/>
    <w:multiLevelType w:val="hybridMultilevel"/>
    <w:tmpl w:val="B7EC7806"/>
    <w:lvl w:ilvl="0" w:tplc="E1F88FF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332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EF"/>
    <w:rsid w:val="003225EF"/>
    <w:rsid w:val="00777BB8"/>
    <w:rsid w:val="008C79E6"/>
    <w:rsid w:val="00DF7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E913"/>
  <w15:chartTrackingRefBased/>
  <w15:docId w15:val="{B343AEE3-6515-4591-8F3F-F620B7F8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5EF"/>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322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EF"/>
    <w:rPr>
      <w:rFonts w:eastAsiaTheme="majorEastAsia" w:cstheme="majorBidi"/>
      <w:color w:val="272727" w:themeColor="text1" w:themeTint="D8"/>
    </w:rPr>
  </w:style>
  <w:style w:type="paragraph" w:styleId="Title">
    <w:name w:val="Title"/>
    <w:basedOn w:val="Normal"/>
    <w:next w:val="Normal"/>
    <w:link w:val="TitleChar"/>
    <w:uiPriority w:val="10"/>
    <w:qFormat/>
    <w:rsid w:val="00322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EF"/>
    <w:pPr>
      <w:spacing w:before="160"/>
      <w:jc w:val="center"/>
    </w:pPr>
    <w:rPr>
      <w:i/>
      <w:iCs/>
      <w:color w:val="404040" w:themeColor="text1" w:themeTint="BF"/>
    </w:rPr>
  </w:style>
  <w:style w:type="character" w:customStyle="1" w:styleId="QuoteChar">
    <w:name w:val="Quote Char"/>
    <w:basedOn w:val="DefaultParagraphFont"/>
    <w:link w:val="Quote"/>
    <w:uiPriority w:val="29"/>
    <w:rsid w:val="003225EF"/>
    <w:rPr>
      <w:i/>
      <w:iCs/>
      <w:color w:val="404040" w:themeColor="text1" w:themeTint="BF"/>
    </w:rPr>
  </w:style>
  <w:style w:type="paragraph" w:styleId="ListParagraph">
    <w:name w:val="List Paragraph"/>
    <w:basedOn w:val="Normal"/>
    <w:qFormat/>
    <w:rsid w:val="003225EF"/>
    <w:pPr>
      <w:ind w:left="720"/>
      <w:contextualSpacing/>
    </w:pPr>
  </w:style>
  <w:style w:type="character" w:styleId="IntenseEmphasis">
    <w:name w:val="Intense Emphasis"/>
    <w:basedOn w:val="DefaultParagraphFont"/>
    <w:uiPriority w:val="21"/>
    <w:qFormat/>
    <w:rsid w:val="003225EF"/>
    <w:rPr>
      <w:i/>
      <w:iCs/>
      <w:color w:val="0F4761" w:themeColor="accent1" w:themeShade="BF"/>
    </w:rPr>
  </w:style>
  <w:style w:type="paragraph" w:styleId="IntenseQuote">
    <w:name w:val="Intense Quote"/>
    <w:basedOn w:val="Normal"/>
    <w:next w:val="Normal"/>
    <w:link w:val="IntenseQuoteChar"/>
    <w:uiPriority w:val="30"/>
    <w:qFormat/>
    <w:rsid w:val="00322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EF"/>
    <w:rPr>
      <w:i/>
      <w:iCs/>
      <w:color w:val="0F4761" w:themeColor="accent1" w:themeShade="BF"/>
    </w:rPr>
  </w:style>
  <w:style w:type="character" w:styleId="IntenseReference">
    <w:name w:val="Intense Reference"/>
    <w:basedOn w:val="DefaultParagraphFont"/>
    <w:uiPriority w:val="32"/>
    <w:qFormat/>
    <w:rsid w:val="003225EF"/>
    <w:rPr>
      <w:b/>
      <w:bCs/>
      <w:smallCaps/>
      <w:color w:val="0F4761" w:themeColor="accent1" w:themeShade="BF"/>
      <w:spacing w:val="5"/>
    </w:rPr>
  </w:style>
  <w:style w:type="paragraph" w:styleId="NormalWeb">
    <w:name w:val="Normal (Web)"/>
    <w:basedOn w:val="Normal"/>
    <w:uiPriority w:val="99"/>
    <w:rsid w:val="003225EF"/>
    <w:pPr>
      <w:spacing w:before="100" w:beforeAutospacing="1" w:after="100" w:afterAutospacing="1"/>
    </w:pPr>
    <w:rPr>
      <w:rFonts w:ascii="Times New Roman" w:hAnsi="Times New Roman"/>
      <w:sz w:val="24"/>
      <w:szCs w:val="24"/>
      <w:lang w:val="lt-LT" w:eastAsia="lt-LT"/>
    </w:rPr>
  </w:style>
  <w:style w:type="character" w:styleId="Hyperlink">
    <w:name w:val="Hyperlink"/>
    <w:uiPriority w:val="99"/>
    <w:rsid w:val="00322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05R0183-20220128" TargetMode="External"/><Relationship Id="rId13" Type="http://schemas.openxmlformats.org/officeDocument/2006/relationships/hyperlink" Target="https://eur-lex.europa.eu/legal-content/LT/TXT/HTML/?uri=CELEX:02005R0183-20220128" TargetMode="External"/><Relationship Id="rId18" Type="http://schemas.openxmlformats.org/officeDocument/2006/relationships/hyperlink" Target="https://eur-lex.europa.eu/legal-content/LT/TXT/HTML/?uri=CELEX:02005R0183-20220128" TargetMode="External"/><Relationship Id="rId26" Type="http://schemas.openxmlformats.org/officeDocument/2006/relationships/hyperlink" Target="https://eur-lex.europa.eu/legal-content/LT/TXT/HTML/?uri=CELEX:02005R0183-20220128" TargetMode="External"/><Relationship Id="rId3" Type="http://schemas.openxmlformats.org/officeDocument/2006/relationships/settings" Target="settings.xml"/><Relationship Id="rId21" Type="http://schemas.openxmlformats.org/officeDocument/2006/relationships/hyperlink" Target="https://eur-lex.europa.eu/legal-content/LT/TXT/HTML/?uri=CELEX:02005R0183-20220128" TargetMode="External"/><Relationship Id="rId7" Type="http://schemas.openxmlformats.org/officeDocument/2006/relationships/hyperlink" Target="https://eur-lex.europa.eu/legal-content/LT/TXT/HTML/?uri=CELEX:02005R0183-20220128" TargetMode="External"/><Relationship Id="rId12" Type="http://schemas.openxmlformats.org/officeDocument/2006/relationships/hyperlink" Target="https://eur-lex.europa.eu/legal-content/LT/TXT/HTML/?uri=CELEX:02005R0183-20220128" TargetMode="External"/><Relationship Id="rId17" Type="http://schemas.openxmlformats.org/officeDocument/2006/relationships/hyperlink" Target="https://eur-lex.europa.eu/legal-content/LT/TXT/HTML/?uri=CELEX:02005R0183-20220128" TargetMode="External"/><Relationship Id="rId25" Type="http://schemas.openxmlformats.org/officeDocument/2006/relationships/hyperlink" Target="https://eur-lex.europa.eu/legal-content/LT/TXT/HTML/?uri=CELEX:02002R0178-20260101" TargetMode="External"/><Relationship Id="rId2" Type="http://schemas.openxmlformats.org/officeDocument/2006/relationships/styles" Target="styles.xml"/><Relationship Id="rId16" Type="http://schemas.openxmlformats.org/officeDocument/2006/relationships/hyperlink" Target="https://e-seimas.lrs.lt/portal/legalAct/lt/TAD/d3347970d8d611e49a8e8a8aa8141086/asr" TargetMode="External"/><Relationship Id="rId20" Type="http://schemas.openxmlformats.org/officeDocument/2006/relationships/hyperlink" Target="https://eur-lex.europa.eu/legal-content/LT/TXT/HTML/?uri=CELEX:02005R0183-20220128" TargetMode="External"/><Relationship Id="rId29" Type="http://schemas.openxmlformats.org/officeDocument/2006/relationships/hyperlink" Target="https://e-seimas.lrs.lt/portal/legalAct/lt/TAD/d3347970d8d611e49a8e8a8aa8141086/asr" TargetMode="External"/><Relationship Id="rId1" Type="http://schemas.openxmlformats.org/officeDocument/2006/relationships/numbering" Target="numbering.xml"/><Relationship Id="rId6" Type="http://schemas.openxmlformats.org/officeDocument/2006/relationships/hyperlink" Target="https://e-seimasx.lrs.lt/portal/legalAct/lt/TAD/TAIS.251886/asr" TargetMode="External"/><Relationship Id="rId11" Type="http://schemas.openxmlformats.org/officeDocument/2006/relationships/hyperlink" Target="https://eur-lex.europa.eu/legal-content/LT/TXT/HTML/?uri=CELEX:02002R0178-20260101" TargetMode="External"/><Relationship Id="rId24" Type="http://schemas.openxmlformats.org/officeDocument/2006/relationships/hyperlink" Target="https://eur-lex.europa.eu/legal-content/LT/TXT/HTML/?uri=CELEX:02001R0999-20250312" TargetMode="External"/><Relationship Id="rId5" Type="http://schemas.openxmlformats.org/officeDocument/2006/relationships/hyperlink" Target="https://eur-lex.europa.eu/legal-content/LT/TXT/HTML/?uri=CELEX:02005R0183-20220128" TargetMode="External"/><Relationship Id="rId15" Type="http://schemas.openxmlformats.org/officeDocument/2006/relationships/hyperlink" Target="https://eur-lex.europa.eu/legal-content/LT/TXT/HTML/?uri=CELEX:02005R0183-20220128" TargetMode="External"/><Relationship Id="rId23" Type="http://schemas.openxmlformats.org/officeDocument/2006/relationships/hyperlink" Target="https://eur-lex.europa.eu/legal-content/LT/TXT/HTML/?uri=CELEX:02005R0183-20220128" TargetMode="External"/><Relationship Id="rId28" Type="http://schemas.openxmlformats.org/officeDocument/2006/relationships/hyperlink" Target="https://e-seimas.lrs.lt/portal/legalAct/lt/TAD/TAIS.251886/asr" TargetMode="External"/><Relationship Id="rId10" Type="http://schemas.openxmlformats.org/officeDocument/2006/relationships/hyperlink" Target="https://eur-lex.europa.eu/legal-content/LT/TXT/HTML/?uri=CELEX:02001R0999-20250312" TargetMode="External"/><Relationship Id="rId19" Type="http://schemas.openxmlformats.org/officeDocument/2006/relationships/hyperlink" Target="https://eur-lex.europa.eu/legal-content/LT/TXT/HTML/?uri=CELEX:02005R0183-202201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LT/TXT/HTML/?uri=CELEX:02005R0183-20220128" TargetMode="External"/><Relationship Id="rId14" Type="http://schemas.openxmlformats.org/officeDocument/2006/relationships/hyperlink" Target="https://eur-lex.europa.eu/legal-content/LT/TXT/HTML/?uri=CELEX:02002R0178-20260101" TargetMode="External"/><Relationship Id="rId22" Type="http://schemas.openxmlformats.org/officeDocument/2006/relationships/hyperlink" Target="https://eur-lex.europa.eu/legal-content/LT/TXT/HTML/?uri=CELEX:02005R0183-20220128" TargetMode="External"/><Relationship Id="rId27" Type="http://schemas.openxmlformats.org/officeDocument/2006/relationships/hyperlink" Target="https://www.e-tar.lt/portal/lt/legalAct/TAR.5B55C0654B4A/IoPylcMuK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7017</Words>
  <Characters>4000</Characters>
  <Application>Microsoft Office Word</Application>
  <DocSecurity>0</DocSecurity>
  <Lines>33</Lines>
  <Paragraphs>21</Paragraphs>
  <ScaleCrop>false</ScaleCrop>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2026-04-17T05:36:00Z</dcterms:created>
  <dcterms:modified xsi:type="dcterms:W3CDTF">2026-04-17T05:38:00Z</dcterms:modified>
</cp:coreProperties>
</file>