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805B" w14:textId="77777777" w:rsidR="00B22956" w:rsidRPr="00322FE6" w:rsidRDefault="00B22956" w:rsidP="00B22956">
      <w:pPr>
        <w:tabs>
          <w:tab w:val="left" w:pos="13175"/>
        </w:tabs>
        <w:ind w:left="9639" w:right="283"/>
        <w:rPr>
          <w:rFonts w:ascii="Times New Roman" w:hAnsi="Times New Roman"/>
          <w:sz w:val="24"/>
          <w:szCs w:val="24"/>
          <w:lang w:val="lt-LT"/>
        </w:rPr>
      </w:pPr>
      <w:r w:rsidRPr="00322FE6">
        <w:rPr>
          <w:rFonts w:ascii="Times New Roman" w:hAnsi="Times New Roman"/>
          <w:sz w:val="24"/>
          <w:szCs w:val="24"/>
          <w:lang w:val="lt-LT"/>
        </w:rPr>
        <w:t xml:space="preserve">Darbo instrukcijos KT-2-5-D1 „Pašarų ūkio subjektų valstybinė veterinarinė kontrolė“ </w:t>
      </w:r>
    </w:p>
    <w:p w14:paraId="4B6E07FD" w14:textId="77777777" w:rsidR="00B22956" w:rsidRPr="00322FE6" w:rsidRDefault="00B22956" w:rsidP="00B22956">
      <w:pPr>
        <w:ind w:left="10206" w:hanging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</w:t>
      </w:r>
      <w:r w:rsidRPr="00322FE6">
        <w:rPr>
          <w:rFonts w:ascii="Times New Roman" w:hAnsi="Times New Roman"/>
          <w:sz w:val="24"/>
          <w:szCs w:val="24"/>
          <w:lang w:val="lt-LT"/>
        </w:rPr>
        <w:t xml:space="preserve"> priedas</w:t>
      </w:r>
    </w:p>
    <w:p w14:paraId="273D32E9" w14:textId="77777777" w:rsidR="00B22956" w:rsidRDefault="00B22956" w:rsidP="00B22956">
      <w:pPr>
        <w:widowControl w:val="0"/>
        <w:shd w:val="clear" w:color="auto" w:fill="FFFFFF"/>
        <w:tabs>
          <w:tab w:val="left" w:leader="underscore" w:pos="4752"/>
        </w:tabs>
        <w:ind w:hanging="142"/>
        <w:jc w:val="center"/>
        <w:rPr>
          <w:rFonts w:ascii="Times New Roman" w:hAnsi="Times New Roman"/>
          <w:b/>
          <w:bCs/>
          <w:sz w:val="24"/>
          <w:szCs w:val="24"/>
          <w:lang w:val="lt-LT" w:eastAsia="en-US"/>
        </w:rPr>
      </w:pPr>
    </w:p>
    <w:p w14:paraId="54B82E16" w14:textId="1E36613D" w:rsidR="00B22956" w:rsidRDefault="00B22956" w:rsidP="00B22956">
      <w:pPr>
        <w:widowControl w:val="0"/>
        <w:shd w:val="clear" w:color="auto" w:fill="FFFFFF"/>
        <w:tabs>
          <w:tab w:val="left" w:leader="underscore" w:pos="4752"/>
        </w:tabs>
        <w:ind w:hanging="142"/>
        <w:jc w:val="center"/>
        <w:rPr>
          <w:rFonts w:ascii="Times New Roman" w:hAnsi="Times New Roman"/>
          <w:b/>
          <w:bCs/>
          <w:sz w:val="24"/>
          <w:szCs w:val="24"/>
          <w:lang w:val="lt-LT" w:eastAsia="en-US"/>
        </w:rPr>
      </w:pPr>
      <w:r>
        <w:rPr>
          <w:rFonts w:ascii="Times New Roman" w:hAnsi="Times New Roman"/>
          <w:b/>
          <w:bCs/>
          <w:sz w:val="24"/>
          <w:szCs w:val="24"/>
          <w:lang w:val="lt-LT" w:eastAsia="en-US"/>
        </w:rPr>
        <w:t xml:space="preserve">SPECIALIŲJŲ </w:t>
      </w:r>
      <w:r w:rsidRPr="00884E81">
        <w:rPr>
          <w:rFonts w:ascii="Times New Roman" w:hAnsi="Times New Roman"/>
          <w:b/>
          <w:bCs/>
          <w:sz w:val="24"/>
          <w:szCs w:val="24"/>
          <w:lang w:val="lt-LT" w:eastAsia="en-US"/>
        </w:rPr>
        <w:t xml:space="preserve">REIKALAVIMŲ </w:t>
      </w:r>
      <w:r w:rsidRPr="00117BF4">
        <w:rPr>
          <w:rFonts w:ascii="Times New Roman" w:hAnsi="Times New Roman"/>
          <w:b/>
          <w:bCs/>
          <w:sz w:val="24"/>
          <w:szCs w:val="24"/>
          <w:lang w:val="lt-LT" w:eastAsia="en-US"/>
        </w:rPr>
        <w:t xml:space="preserve">PAŠARŲ </w:t>
      </w:r>
      <w:r w:rsidRPr="00B37C29">
        <w:rPr>
          <w:rFonts w:ascii="Times New Roman" w:hAnsi="Times New Roman"/>
          <w:b/>
          <w:bCs/>
          <w:sz w:val="24"/>
          <w:szCs w:val="24"/>
          <w:lang w:val="lt-LT"/>
        </w:rPr>
        <w:t xml:space="preserve">ŪKIO SUBJEKTUI, SANDĖLIUOJANČIAM / GABENANČIAM PAŠARUS, </w:t>
      </w:r>
      <w:r w:rsidRPr="00884E81">
        <w:rPr>
          <w:rFonts w:ascii="Times New Roman" w:hAnsi="Times New Roman"/>
          <w:b/>
          <w:bCs/>
          <w:sz w:val="24"/>
          <w:szCs w:val="24"/>
          <w:lang w:val="lt-LT" w:eastAsia="en-US"/>
        </w:rPr>
        <w:t>KONTROLINIS KLAUSIMYNAS</w:t>
      </w:r>
    </w:p>
    <w:p w14:paraId="38CCE127" w14:textId="77777777" w:rsidR="00B22956" w:rsidRPr="00884E81" w:rsidRDefault="00B22956" w:rsidP="00B22956">
      <w:pPr>
        <w:widowControl w:val="0"/>
        <w:shd w:val="clear" w:color="auto" w:fill="FFFFFF"/>
        <w:tabs>
          <w:tab w:val="left" w:leader="underscore" w:pos="4752"/>
        </w:tabs>
        <w:ind w:hanging="142"/>
        <w:jc w:val="center"/>
        <w:rPr>
          <w:rFonts w:ascii="Times New Roman" w:hAnsi="Times New Roman"/>
          <w:b/>
          <w:bCs/>
          <w:sz w:val="24"/>
          <w:szCs w:val="24"/>
          <w:lang w:val="lt-LT" w:eastAsia="en-US"/>
        </w:rPr>
      </w:pPr>
    </w:p>
    <w:tbl>
      <w:tblPr>
        <w:tblpPr w:leftFromText="180" w:rightFromText="180" w:vertAnchor="text" w:tblpY="1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3"/>
        <w:gridCol w:w="3689"/>
        <w:gridCol w:w="2578"/>
        <w:gridCol w:w="900"/>
        <w:gridCol w:w="817"/>
        <w:gridCol w:w="1276"/>
        <w:gridCol w:w="4678"/>
        <w:gridCol w:w="47"/>
      </w:tblGrid>
      <w:tr w:rsidR="00B22956" w:rsidRPr="00622377" w14:paraId="2D2244E8" w14:textId="77777777" w:rsidTr="00A96C1C">
        <w:trPr>
          <w:gridAfter w:val="1"/>
          <w:wAfter w:w="47" w:type="dxa"/>
          <w:cantSplit/>
          <w:trHeight w:val="22"/>
        </w:trPr>
        <w:tc>
          <w:tcPr>
            <w:tcW w:w="703" w:type="dxa"/>
            <w:vMerge w:val="restart"/>
            <w:hideMark/>
          </w:tcPr>
          <w:p w14:paraId="26E662DF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622377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Eil. Nr.</w:t>
            </w:r>
          </w:p>
        </w:tc>
        <w:tc>
          <w:tcPr>
            <w:tcW w:w="3689" w:type="dxa"/>
            <w:vMerge w:val="restart"/>
            <w:shd w:val="clear" w:color="auto" w:fill="FFFFFF"/>
            <w:hideMark/>
          </w:tcPr>
          <w:p w14:paraId="6F6BC659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622377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Reikalavimas</w:t>
            </w:r>
          </w:p>
        </w:tc>
        <w:tc>
          <w:tcPr>
            <w:tcW w:w="2578" w:type="dxa"/>
            <w:vMerge w:val="restart"/>
            <w:shd w:val="clear" w:color="auto" w:fill="FFFFFF"/>
            <w:hideMark/>
          </w:tcPr>
          <w:p w14:paraId="14A52D29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622377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Teisės akto straipsnis, dalis, punktas</w:t>
            </w:r>
          </w:p>
        </w:tc>
        <w:tc>
          <w:tcPr>
            <w:tcW w:w="2993" w:type="dxa"/>
            <w:gridSpan w:val="3"/>
            <w:shd w:val="clear" w:color="auto" w:fill="FFFFFF"/>
            <w:hideMark/>
          </w:tcPr>
          <w:p w14:paraId="1FC235DE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622377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Atitikties įvertinimas</w:t>
            </w:r>
          </w:p>
        </w:tc>
        <w:tc>
          <w:tcPr>
            <w:tcW w:w="4678" w:type="dxa"/>
            <w:shd w:val="clear" w:color="auto" w:fill="FFFFFF"/>
            <w:hideMark/>
          </w:tcPr>
          <w:p w14:paraId="7899536C" w14:textId="77777777" w:rsidR="00B22956" w:rsidRPr="00622377" w:rsidRDefault="00B22956" w:rsidP="00A96C1C">
            <w:pPr>
              <w:widowControl w:val="0"/>
              <w:shd w:val="clear" w:color="auto" w:fill="FFFFFF"/>
              <w:tabs>
                <w:tab w:val="left" w:pos="3512"/>
              </w:tabs>
              <w:spacing w:line="254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622377">
              <w:rPr>
                <w:rFonts w:ascii="Times New Roman" w:hAnsi="Times New Roman"/>
                <w:spacing w:val="-2"/>
                <w:kern w:val="2"/>
                <w:sz w:val="22"/>
                <w:szCs w:val="22"/>
                <w:lang w:val="lt-LT" w:eastAsia="lt-LT"/>
              </w:rPr>
              <w:t>Pastabos</w:t>
            </w:r>
          </w:p>
        </w:tc>
      </w:tr>
      <w:tr w:rsidR="00B22956" w:rsidRPr="00622377" w14:paraId="688F8064" w14:textId="77777777" w:rsidTr="00A96C1C">
        <w:trPr>
          <w:gridAfter w:val="1"/>
          <w:wAfter w:w="47" w:type="dxa"/>
          <w:cantSplit/>
          <w:trHeight w:val="22"/>
        </w:trPr>
        <w:tc>
          <w:tcPr>
            <w:tcW w:w="703" w:type="dxa"/>
            <w:vMerge/>
            <w:vAlign w:val="center"/>
            <w:hideMark/>
          </w:tcPr>
          <w:p w14:paraId="16BA36B3" w14:textId="77777777" w:rsidR="00B22956" w:rsidRPr="00622377" w:rsidRDefault="00B22956" w:rsidP="00A96C1C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689" w:type="dxa"/>
            <w:vMerge/>
            <w:vAlign w:val="center"/>
            <w:hideMark/>
          </w:tcPr>
          <w:p w14:paraId="00D13045" w14:textId="77777777" w:rsidR="00B22956" w:rsidRPr="00622377" w:rsidRDefault="00B22956" w:rsidP="00A96C1C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2578" w:type="dxa"/>
            <w:vMerge/>
            <w:vAlign w:val="center"/>
            <w:hideMark/>
          </w:tcPr>
          <w:p w14:paraId="7435863A" w14:textId="77777777" w:rsidR="00B22956" w:rsidRPr="00622377" w:rsidRDefault="00B22956" w:rsidP="00A96C1C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00" w:type="dxa"/>
            <w:shd w:val="clear" w:color="auto" w:fill="FFFFFF"/>
            <w:hideMark/>
          </w:tcPr>
          <w:p w14:paraId="446B63FF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622377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Taip</w:t>
            </w:r>
          </w:p>
        </w:tc>
        <w:tc>
          <w:tcPr>
            <w:tcW w:w="817" w:type="dxa"/>
            <w:shd w:val="clear" w:color="auto" w:fill="FFFFFF"/>
            <w:hideMark/>
          </w:tcPr>
          <w:p w14:paraId="66E7F57E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622377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Ne</w:t>
            </w:r>
          </w:p>
        </w:tc>
        <w:tc>
          <w:tcPr>
            <w:tcW w:w="1276" w:type="dxa"/>
            <w:shd w:val="clear" w:color="auto" w:fill="FFFFFF"/>
            <w:hideMark/>
          </w:tcPr>
          <w:p w14:paraId="6BC1C407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622377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Netaikoma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622377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/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622377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Neaktualu</w:t>
            </w:r>
          </w:p>
        </w:tc>
        <w:tc>
          <w:tcPr>
            <w:tcW w:w="4678" w:type="dxa"/>
            <w:vAlign w:val="center"/>
          </w:tcPr>
          <w:p w14:paraId="038A37E8" w14:textId="77777777" w:rsidR="00B22956" w:rsidRPr="00622377" w:rsidRDefault="00B22956" w:rsidP="00A96C1C">
            <w:pPr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B22956" w:rsidRPr="00627AD2" w14:paraId="71DF4FD6" w14:textId="77777777" w:rsidTr="00A96C1C">
        <w:trPr>
          <w:gridAfter w:val="1"/>
          <w:wAfter w:w="47" w:type="dxa"/>
          <w:cantSplit/>
          <w:trHeight w:val="22"/>
        </w:trPr>
        <w:tc>
          <w:tcPr>
            <w:tcW w:w="703" w:type="dxa"/>
          </w:tcPr>
          <w:p w14:paraId="643D769C" w14:textId="77777777" w:rsidR="00B22956" w:rsidRPr="00622377" w:rsidRDefault="00B22956" w:rsidP="00B22956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689" w:type="dxa"/>
          </w:tcPr>
          <w:p w14:paraId="24FC294C" w14:textId="77777777" w:rsidR="00B22956" w:rsidRPr="00622377" w:rsidRDefault="00B22956" w:rsidP="00A96C1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22377">
              <w:rPr>
                <w:sz w:val="22"/>
                <w:szCs w:val="22"/>
              </w:rPr>
              <w:t>Ar perdirbti pašarai yra atskirti nuo neperdirbtų pašarinių žaliavų ir priedų?</w:t>
            </w:r>
          </w:p>
        </w:tc>
        <w:tc>
          <w:tcPr>
            <w:tcW w:w="2578" w:type="dxa"/>
          </w:tcPr>
          <w:p w14:paraId="78C90E4A" w14:textId="77777777" w:rsidR="00B22956" w:rsidRPr="001840DB" w:rsidRDefault="00B22956" w:rsidP="00A96C1C">
            <w:pPr>
              <w:rPr>
                <w:rFonts w:ascii="Times New Roman" w:hAnsi="Times New Roman"/>
                <w:sz w:val="22"/>
                <w:szCs w:val="22"/>
                <w:lang w:val="pt-BR" w:eastAsia="lt-LT"/>
              </w:rPr>
            </w:pPr>
            <w:hyperlink r:id="rId5" w:history="1">
              <w:r w:rsidRPr="000A074A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pt-BR" w:eastAsia="lt-LT"/>
                </w:rPr>
                <w:t>[2]</w:t>
              </w:r>
            </w:hyperlink>
            <w:r w:rsidRPr="001840DB">
              <w:rPr>
                <w:rFonts w:ascii="Times New Roman" w:hAnsi="Times New Roman"/>
                <w:sz w:val="22"/>
                <w:szCs w:val="22"/>
                <w:lang w:val="pt-BR" w:eastAsia="lt-LT"/>
              </w:rPr>
              <w:t xml:space="preserve"> II priedo skyriaus </w:t>
            </w:r>
            <w:r w:rsidRPr="2918FE7E">
              <w:rPr>
                <w:rFonts w:ascii="Times New Roman" w:hAnsi="Times New Roman"/>
                <w:sz w:val="24"/>
                <w:szCs w:val="24"/>
                <w:lang w:val="lt-LT"/>
              </w:rPr>
              <w:t>„</w:t>
            </w:r>
            <w:r w:rsidRPr="001840DB">
              <w:rPr>
                <w:rFonts w:ascii="Times New Roman" w:hAnsi="Times New Roman"/>
                <w:sz w:val="22"/>
                <w:szCs w:val="22"/>
                <w:lang w:val="pt-BR" w:eastAsia="lt-LT"/>
              </w:rPr>
              <w:t>Sandėliavimas ir transportavimas</w:t>
            </w:r>
            <w:r w:rsidRPr="2918FE7E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Pr="001840DB">
              <w:rPr>
                <w:rFonts w:ascii="Times New Roman" w:hAnsi="Times New Roman"/>
                <w:sz w:val="22"/>
                <w:szCs w:val="22"/>
                <w:lang w:val="pt-BR" w:eastAsia="lt-LT"/>
              </w:rPr>
              <w:t xml:space="preserve"> 1 dalis</w:t>
            </w:r>
          </w:p>
        </w:tc>
        <w:tc>
          <w:tcPr>
            <w:tcW w:w="900" w:type="dxa"/>
            <w:shd w:val="clear" w:color="auto" w:fill="FFFFFF"/>
          </w:tcPr>
          <w:p w14:paraId="54362A3D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17" w:type="dxa"/>
            <w:shd w:val="clear" w:color="auto" w:fill="FFFFFF"/>
          </w:tcPr>
          <w:p w14:paraId="3CFF3BA7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26A0592D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14:paraId="7089CF36" w14:textId="77777777" w:rsidR="00B22956" w:rsidRPr="00B37C29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 w:eastAsia="lt-LT"/>
              </w:rPr>
              <w:t>Perdirbti pašarai turi būti atskirti nuo neperdirbtų pašarinių žaliavų ir priedų taip, kad būtų išvengta kryžminės taršos.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B22956" w:rsidRPr="00622377" w14:paraId="3FAEF37A" w14:textId="77777777" w:rsidTr="00A96C1C">
        <w:trPr>
          <w:gridAfter w:val="1"/>
          <w:wAfter w:w="47" w:type="dxa"/>
          <w:cantSplit/>
          <w:trHeight w:val="22"/>
        </w:trPr>
        <w:tc>
          <w:tcPr>
            <w:tcW w:w="703" w:type="dxa"/>
          </w:tcPr>
          <w:p w14:paraId="1F06C373" w14:textId="77777777" w:rsidR="00B22956" w:rsidRPr="00B37C29" w:rsidRDefault="00B22956" w:rsidP="00B22956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</w:pPr>
          </w:p>
        </w:tc>
        <w:tc>
          <w:tcPr>
            <w:tcW w:w="3689" w:type="dxa"/>
          </w:tcPr>
          <w:p w14:paraId="6184CC3F" w14:textId="77777777" w:rsidR="00B22956" w:rsidRPr="00622377" w:rsidRDefault="00B22956" w:rsidP="00A96C1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22377">
              <w:rPr>
                <w:sz w:val="22"/>
                <w:szCs w:val="22"/>
              </w:rPr>
              <w:t>Ar pašarai sandėliuojami / transportuojami taip, kad juos būtų lengva identifikuoti ir apsaugoti nuo gedimo?</w:t>
            </w:r>
          </w:p>
        </w:tc>
        <w:tc>
          <w:tcPr>
            <w:tcW w:w="2578" w:type="dxa"/>
          </w:tcPr>
          <w:p w14:paraId="3E9C72F1" w14:textId="77777777" w:rsidR="00B22956" w:rsidRPr="001840DB" w:rsidRDefault="00B22956" w:rsidP="00A96C1C">
            <w:pPr>
              <w:rPr>
                <w:rFonts w:ascii="Times New Roman" w:hAnsi="Times New Roman"/>
                <w:sz w:val="22"/>
                <w:szCs w:val="22"/>
                <w:lang w:val="pt-BR" w:eastAsia="lt-LT"/>
              </w:rPr>
            </w:pPr>
            <w:hyperlink r:id="rId6" w:history="1">
              <w:r w:rsidRPr="000A074A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pt-BR" w:eastAsia="lt-LT"/>
                </w:rPr>
                <w:t>[2]</w:t>
              </w:r>
            </w:hyperlink>
            <w:r w:rsidRPr="001840DB">
              <w:rPr>
                <w:rFonts w:ascii="Times New Roman" w:hAnsi="Times New Roman"/>
                <w:sz w:val="22"/>
                <w:szCs w:val="22"/>
                <w:lang w:val="pt-BR" w:eastAsia="lt-LT"/>
              </w:rPr>
              <w:t xml:space="preserve"> II priedo skyriaus </w:t>
            </w:r>
            <w:r w:rsidRPr="2918FE7E">
              <w:rPr>
                <w:rFonts w:ascii="Times New Roman" w:hAnsi="Times New Roman"/>
                <w:sz w:val="24"/>
                <w:szCs w:val="24"/>
                <w:lang w:val="lt-LT"/>
              </w:rPr>
              <w:t>„</w:t>
            </w:r>
            <w:r w:rsidRPr="001840DB">
              <w:rPr>
                <w:rFonts w:ascii="Times New Roman" w:hAnsi="Times New Roman"/>
                <w:sz w:val="22"/>
                <w:szCs w:val="22"/>
                <w:lang w:val="pt-BR" w:eastAsia="lt-LT"/>
              </w:rPr>
              <w:t>Sandėliavimas ir transportavimas</w:t>
            </w:r>
            <w:r w:rsidRPr="2918FE7E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Pr="001840DB">
              <w:rPr>
                <w:rFonts w:ascii="Times New Roman" w:hAnsi="Times New Roman"/>
                <w:sz w:val="22"/>
                <w:szCs w:val="22"/>
                <w:lang w:val="pt-BR" w:eastAsia="lt-LT"/>
              </w:rPr>
              <w:t xml:space="preserve"> 3 dalis</w:t>
            </w:r>
          </w:p>
          <w:p w14:paraId="12F24A2A" w14:textId="77777777" w:rsidR="00B22956" w:rsidRPr="00622377" w:rsidRDefault="00B22956" w:rsidP="00A96C1C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hyperlink r:id="rId7" w:history="1">
              <w:r w:rsidRPr="000A074A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eastAsia="lt-LT"/>
                </w:rPr>
                <w:t>[4]</w:t>
              </w:r>
            </w:hyperlink>
            <w:r w:rsidRPr="000A074A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7 straipsnio 1 dalis</w:t>
            </w:r>
          </w:p>
        </w:tc>
        <w:tc>
          <w:tcPr>
            <w:tcW w:w="900" w:type="dxa"/>
            <w:shd w:val="clear" w:color="auto" w:fill="FFFFFF"/>
          </w:tcPr>
          <w:p w14:paraId="7413F317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17" w:type="dxa"/>
            <w:shd w:val="clear" w:color="auto" w:fill="FFFFFF"/>
          </w:tcPr>
          <w:p w14:paraId="3C619E49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080223C6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14:paraId="552320D2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color w:val="156082"/>
                <w:sz w:val="22"/>
                <w:szCs w:val="22"/>
              </w:rPr>
            </w:pPr>
          </w:p>
        </w:tc>
      </w:tr>
      <w:tr w:rsidR="00B22956" w:rsidRPr="00627AD2" w14:paraId="276E2F7C" w14:textId="77777777" w:rsidTr="00A96C1C">
        <w:trPr>
          <w:gridAfter w:val="1"/>
          <w:wAfter w:w="47" w:type="dxa"/>
          <w:cantSplit/>
          <w:trHeight w:val="22"/>
        </w:trPr>
        <w:tc>
          <w:tcPr>
            <w:tcW w:w="703" w:type="dxa"/>
          </w:tcPr>
          <w:p w14:paraId="35BF6B55" w14:textId="77777777" w:rsidR="00B22956" w:rsidRPr="00622377" w:rsidRDefault="00B22956" w:rsidP="00B22956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689" w:type="dxa"/>
          </w:tcPr>
          <w:p w14:paraId="0B8577D2" w14:textId="77777777" w:rsidR="00B22956" w:rsidRDefault="00B22956" w:rsidP="00A96C1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22377">
              <w:rPr>
                <w:sz w:val="22"/>
                <w:szCs w:val="22"/>
              </w:rPr>
              <w:t>Ar pašarai laikomi tokioje temperatūroje, kad būtų išvengta kondensacijos ir gedimo?</w:t>
            </w:r>
          </w:p>
          <w:p w14:paraId="1A5261E6" w14:textId="77777777" w:rsidR="00B22956" w:rsidRDefault="00B22956" w:rsidP="00A96C1C">
            <w:pPr>
              <w:pStyle w:val="NormalWeb"/>
              <w:spacing w:before="0" w:beforeAutospacing="0" w:after="0" w:afterAutospacing="0"/>
              <w:rPr>
                <w:i/>
                <w:iCs/>
                <w:color w:val="215E99"/>
                <w:sz w:val="22"/>
                <w:szCs w:val="22"/>
              </w:rPr>
            </w:pPr>
            <w:r w:rsidRPr="001840DB">
              <w:rPr>
                <w:color w:val="215E99"/>
                <w:sz w:val="22"/>
                <w:szCs w:val="22"/>
                <w:lang w:eastAsia="nl-NL"/>
              </w:rPr>
              <w:t>[</w:t>
            </w:r>
            <w:r>
              <w:rPr>
                <w:i/>
                <w:iCs/>
                <w:color w:val="215E99"/>
                <w:sz w:val="22"/>
                <w:szCs w:val="22"/>
              </w:rPr>
              <w:t>Nurodykite nustatytą pašarų laikymo temperatūrą ir matavimui naudoto termometro numerį</w:t>
            </w:r>
            <w:r w:rsidRPr="001840DB">
              <w:rPr>
                <w:color w:val="215E99"/>
                <w:sz w:val="22"/>
                <w:szCs w:val="22"/>
              </w:rPr>
              <w:t>...]</w:t>
            </w:r>
          </w:p>
        </w:tc>
        <w:tc>
          <w:tcPr>
            <w:tcW w:w="2578" w:type="dxa"/>
          </w:tcPr>
          <w:p w14:paraId="65826747" w14:textId="77777777" w:rsidR="00B22956" w:rsidRPr="001840DB" w:rsidRDefault="00B22956" w:rsidP="00A96C1C">
            <w:pPr>
              <w:rPr>
                <w:rFonts w:ascii="Times New Roman" w:hAnsi="Times New Roman"/>
                <w:sz w:val="22"/>
                <w:szCs w:val="22"/>
                <w:lang w:val="pt-BR" w:eastAsia="lt-LT"/>
              </w:rPr>
            </w:pPr>
            <w:hyperlink r:id="rId8" w:history="1">
              <w:r w:rsidRPr="000A074A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pt-BR" w:eastAsia="lt-LT"/>
                </w:rPr>
                <w:t>[2]</w:t>
              </w:r>
            </w:hyperlink>
            <w:r w:rsidRPr="001840DB">
              <w:rPr>
                <w:rFonts w:ascii="Times New Roman" w:hAnsi="Times New Roman"/>
                <w:sz w:val="22"/>
                <w:szCs w:val="22"/>
                <w:lang w:val="pt-BR" w:eastAsia="lt-LT"/>
              </w:rPr>
              <w:t xml:space="preserve"> II priedo skyriaus </w:t>
            </w:r>
            <w:r w:rsidRPr="2918FE7E">
              <w:rPr>
                <w:rFonts w:ascii="Times New Roman" w:hAnsi="Times New Roman"/>
                <w:sz w:val="24"/>
                <w:szCs w:val="24"/>
                <w:lang w:val="lt-LT"/>
              </w:rPr>
              <w:t>„</w:t>
            </w:r>
            <w:r w:rsidRPr="001840DB">
              <w:rPr>
                <w:rFonts w:ascii="Times New Roman" w:hAnsi="Times New Roman"/>
                <w:sz w:val="22"/>
                <w:szCs w:val="22"/>
                <w:lang w:val="pt-BR" w:eastAsia="lt-LT"/>
              </w:rPr>
              <w:t>Sandėliavimas ir transportavimas</w:t>
            </w:r>
            <w:r w:rsidRPr="2918FE7E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Pr="001840DB">
              <w:rPr>
                <w:rFonts w:ascii="Times New Roman" w:hAnsi="Times New Roman"/>
                <w:sz w:val="22"/>
                <w:szCs w:val="22"/>
                <w:lang w:val="pt-BR" w:eastAsia="lt-LT"/>
              </w:rPr>
              <w:t xml:space="preserve"> 6 dalis</w:t>
            </w:r>
          </w:p>
          <w:p w14:paraId="56C10DDF" w14:textId="77777777" w:rsidR="00B22956" w:rsidRPr="00622377" w:rsidRDefault="00B22956" w:rsidP="00A96C1C">
            <w:pPr>
              <w:rPr>
                <w:rFonts w:ascii="Times New Roman" w:hAnsi="Times New Roman"/>
                <w:sz w:val="22"/>
                <w:szCs w:val="22"/>
              </w:rPr>
            </w:pPr>
            <w:hyperlink r:id="rId9" w:history="1">
              <w:r w:rsidRPr="000A074A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eastAsia="lt-LT"/>
                </w:rPr>
                <w:t>[4]</w:t>
              </w:r>
            </w:hyperlink>
            <w:r w:rsidRPr="000A074A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7 straipsnio 1 dalis </w:t>
            </w:r>
          </w:p>
        </w:tc>
        <w:tc>
          <w:tcPr>
            <w:tcW w:w="900" w:type="dxa"/>
            <w:shd w:val="clear" w:color="auto" w:fill="FFFFFF"/>
          </w:tcPr>
          <w:p w14:paraId="473E0040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17" w:type="dxa"/>
            <w:shd w:val="clear" w:color="auto" w:fill="FFFFFF"/>
          </w:tcPr>
          <w:p w14:paraId="309C61BB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7A5E0B89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14:paraId="04ED875A" w14:textId="77777777" w:rsidR="00B22956" w:rsidRPr="00B37C29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 w:eastAsia="lt-LT"/>
              </w:rPr>
              <w:t>Temperatūra turi atitikti gamintojo pateiktus nurodymus ir (ar) teisės aktuose nustatytus reikalavimus.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B22956" w:rsidRPr="00627AD2" w14:paraId="49FB12A2" w14:textId="77777777" w:rsidTr="00A96C1C">
        <w:trPr>
          <w:gridAfter w:val="1"/>
          <w:wAfter w:w="47" w:type="dxa"/>
          <w:cantSplit/>
          <w:trHeight w:val="22"/>
        </w:trPr>
        <w:tc>
          <w:tcPr>
            <w:tcW w:w="703" w:type="dxa"/>
          </w:tcPr>
          <w:p w14:paraId="49206CD5" w14:textId="77777777" w:rsidR="00B22956" w:rsidRPr="00B37C29" w:rsidRDefault="00B22956" w:rsidP="00B22956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</w:pPr>
          </w:p>
        </w:tc>
        <w:tc>
          <w:tcPr>
            <w:tcW w:w="3689" w:type="dxa"/>
          </w:tcPr>
          <w:p w14:paraId="7BFBF779" w14:textId="77777777" w:rsidR="00B22956" w:rsidRPr="00622377" w:rsidRDefault="00B22956" w:rsidP="00A96C1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22377">
              <w:rPr>
                <w:sz w:val="22"/>
                <w:szCs w:val="22"/>
              </w:rPr>
              <w:t>Ar riebalų mišiniai, augaliniai aliejai arba jų dariniai, skirti naudoti pašaruose, laikomi / gabenami tik šiems produktams skirtose talpyklose?</w:t>
            </w:r>
          </w:p>
        </w:tc>
        <w:tc>
          <w:tcPr>
            <w:tcW w:w="2578" w:type="dxa"/>
          </w:tcPr>
          <w:p w14:paraId="0C51E3D5" w14:textId="77777777" w:rsidR="00B22956" w:rsidRPr="001840DB" w:rsidRDefault="00B22956" w:rsidP="00A96C1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hyperlink r:id="rId10" w:history="1">
              <w:r w:rsidRPr="000A074A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pt-BR" w:eastAsia="lt-LT"/>
                </w:rPr>
                <w:t>[2]</w:t>
              </w:r>
            </w:hyperlink>
            <w:r w:rsidRPr="001840DB">
              <w:rPr>
                <w:rFonts w:ascii="Times New Roman" w:hAnsi="Times New Roman"/>
                <w:sz w:val="22"/>
                <w:szCs w:val="22"/>
                <w:lang w:val="pt-BR" w:eastAsia="lt-LT"/>
              </w:rPr>
              <w:t xml:space="preserve"> II priedo skyriaus </w:t>
            </w:r>
            <w:r w:rsidRPr="2918FE7E">
              <w:rPr>
                <w:rFonts w:ascii="Times New Roman" w:hAnsi="Times New Roman"/>
                <w:sz w:val="24"/>
                <w:szCs w:val="24"/>
                <w:lang w:val="lt-LT"/>
              </w:rPr>
              <w:t>„</w:t>
            </w:r>
            <w:r w:rsidRPr="001840DB">
              <w:rPr>
                <w:rFonts w:ascii="Times New Roman" w:hAnsi="Times New Roman"/>
                <w:sz w:val="22"/>
                <w:szCs w:val="22"/>
                <w:lang w:val="pt-BR" w:eastAsia="lt-LT"/>
              </w:rPr>
              <w:t>Sandėliavimas ir transportavimas</w:t>
            </w:r>
            <w:r w:rsidRPr="2918FE7E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Pr="001840DB">
              <w:rPr>
                <w:rFonts w:ascii="Times New Roman" w:hAnsi="Times New Roman"/>
                <w:sz w:val="22"/>
                <w:szCs w:val="22"/>
                <w:lang w:val="pt-BR" w:eastAsia="lt-LT"/>
              </w:rPr>
              <w:t xml:space="preserve"> 7 dalis </w:t>
            </w:r>
          </w:p>
        </w:tc>
        <w:tc>
          <w:tcPr>
            <w:tcW w:w="900" w:type="dxa"/>
            <w:shd w:val="clear" w:color="auto" w:fill="FFFFFF"/>
          </w:tcPr>
          <w:p w14:paraId="3C9E140F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17" w:type="dxa"/>
            <w:shd w:val="clear" w:color="auto" w:fill="FFFFFF"/>
          </w:tcPr>
          <w:p w14:paraId="17744756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62E17772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14:paraId="7EB03C02" w14:textId="77777777" w:rsidR="00B22956" w:rsidRPr="00B37C29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 w:eastAsia="lt-LT"/>
              </w:rPr>
              <w:t>Sandėliavimui/ gabenimui negali būti naudojamos talpyklos, kuriose buvo laikomi produktai, neatitinkantys  Reglamento (EB) Nr. 183/2005, Reglamento (EB) Nr. 852/2004, Direktyvos 2002/32/EB reikalavimų.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B22956" w:rsidRPr="00627AD2" w14:paraId="0365D16F" w14:textId="77777777" w:rsidTr="00A96C1C">
        <w:trPr>
          <w:gridAfter w:val="1"/>
          <w:wAfter w:w="47" w:type="dxa"/>
          <w:cantSplit/>
          <w:trHeight w:val="22"/>
        </w:trPr>
        <w:tc>
          <w:tcPr>
            <w:tcW w:w="703" w:type="dxa"/>
          </w:tcPr>
          <w:p w14:paraId="4006BF12" w14:textId="77777777" w:rsidR="00B22956" w:rsidRPr="00B37C29" w:rsidRDefault="00B22956" w:rsidP="00B22956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</w:pPr>
          </w:p>
        </w:tc>
        <w:tc>
          <w:tcPr>
            <w:tcW w:w="3689" w:type="dxa"/>
          </w:tcPr>
          <w:p w14:paraId="5DDCF6CB" w14:textId="77777777" w:rsidR="00B22956" w:rsidRPr="00622377" w:rsidRDefault="00B22956" w:rsidP="00A96C1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22377">
              <w:rPr>
                <w:sz w:val="22"/>
                <w:szCs w:val="22"/>
              </w:rPr>
              <w:t>Ar pašarams skirti 3 kategorijos gyvūniniai riebalai gabenami pagal</w:t>
            </w:r>
            <w:r>
              <w:rPr>
                <w:sz w:val="22"/>
                <w:szCs w:val="22"/>
              </w:rPr>
              <w:t xml:space="preserve"> šiems produktams nustatytus reikalavimus</w:t>
            </w:r>
            <w:r w:rsidRPr="00622377">
              <w:rPr>
                <w:sz w:val="22"/>
                <w:szCs w:val="22"/>
              </w:rPr>
              <w:t>?</w:t>
            </w:r>
          </w:p>
        </w:tc>
        <w:tc>
          <w:tcPr>
            <w:tcW w:w="2578" w:type="dxa"/>
          </w:tcPr>
          <w:p w14:paraId="00F4C11C" w14:textId="77777777" w:rsidR="00B22956" w:rsidRPr="001840DB" w:rsidRDefault="00B22956" w:rsidP="00A96C1C">
            <w:pPr>
              <w:rPr>
                <w:rFonts w:ascii="Times New Roman" w:hAnsi="Times New Roman"/>
                <w:sz w:val="22"/>
                <w:szCs w:val="22"/>
                <w:lang w:val="pt-BR" w:eastAsia="lt-LT"/>
              </w:rPr>
            </w:pPr>
            <w:hyperlink r:id="rId11" w:history="1">
              <w:r w:rsidRPr="000A074A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pt-BR" w:eastAsia="lt-LT"/>
                </w:rPr>
                <w:t>[2]</w:t>
              </w:r>
            </w:hyperlink>
            <w:r w:rsidRPr="001840DB">
              <w:rPr>
                <w:rFonts w:ascii="Times New Roman" w:hAnsi="Times New Roman"/>
                <w:sz w:val="22"/>
                <w:szCs w:val="22"/>
                <w:lang w:val="pt-BR" w:eastAsia="lt-LT"/>
              </w:rPr>
              <w:t xml:space="preserve"> II priedo skyriaus </w:t>
            </w:r>
            <w:r w:rsidRPr="2918FE7E">
              <w:rPr>
                <w:rFonts w:ascii="Times New Roman" w:hAnsi="Times New Roman"/>
                <w:sz w:val="24"/>
                <w:szCs w:val="24"/>
                <w:lang w:val="lt-LT"/>
              </w:rPr>
              <w:t>„</w:t>
            </w:r>
            <w:r w:rsidRPr="001840DB">
              <w:rPr>
                <w:rFonts w:ascii="Times New Roman" w:hAnsi="Times New Roman"/>
                <w:sz w:val="22"/>
                <w:szCs w:val="22"/>
                <w:lang w:val="pt-BR" w:eastAsia="lt-LT"/>
              </w:rPr>
              <w:t>Sandėliavimas ir transportavimas</w:t>
            </w:r>
            <w:r w:rsidRPr="2918FE7E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Pr="001840DB">
              <w:rPr>
                <w:rFonts w:ascii="Times New Roman" w:hAnsi="Times New Roman"/>
                <w:sz w:val="22"/>
                <w:szCs w:val="22"/>
                <w:lang w:val="pt-BR" w:eastAsia="lt-LT"/>
              </w:rPr>
              <w:t xml:space="preserve"> 7 dalis </w:t>
            </w:r>
            <w:r w:rsidRPr="001840DB">
              <w:rPr>
                <w:rFonts w:ascii="Times New Roman" w:hAnsi="Times New Roman"/>
                <w:sz w:val="22"/>
                <w:szCs w:val="22"/>
                <w:lang w:val="pt-BR" w:eastAsia="lt-LT"/>
              </w:rPr>
              <w:br/>
            </w:r>
            <w:hyperlink r:id="rId12" w:history="1">
              <w:r w:rsidRPr="000A074A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pt-BR" w:eastAsia="lt-LT"/>
                </w:rPr>
                <w:t>[3]</w:t>
              </w:r>
            </w:hyperlink>
            <w:r w:rsidRPr="001840DB">
              <w:rPr>
                <w:rFonts w:ascii="Times New Roman" w:hAnsi="Times New Roman"/>
                <w:sz w:val="22"/>
                <w:szCs w:val="22"/>
                <w:lang w:val="pt-BR" w:eastAsia="lt-LT"/>
              </w:rPr>
              <w:t xml:space="preserve"> 21 straipsnis </w:t>
            </w:r>
          </w:p>
        </w:tc>
        <w:tc>
          <w:tcPr>
            <w:tcW w:w="900" w:type="dxa"/>
            <w:shd w:val="clear" w:color="auto" w:fill="FFFFFF"/>
          </w:tcPr>
          <w:p w14:paraId="48A11036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17" w:type="dxa"/>
            <w:shd w:val="clear" w:color="auto" w:fill="FFFFFF"/>
          </w:tcPr>
          <w:p w14:paraId="65F7B491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6AD718E2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14:paraId="58E279C1" w14:textId="77777777" w:rsidR="00B22956" w:rsidRPr="001840DB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color w:val="215E99"/>
                <w:sz w:val="22"/>
                <w:szCs w:val="22"/>
                <w:lang w:val="pt-BR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1840DB">
              <w:rPr>
                <w:rFonts w:ascii="Times New Roman" w:hAnsi="Times New Roman"/>
                <w:color w:val="215E99"/>
                <w:sz w:val="22"/>
                <w:szCs w:val="22"/>
                <w:lang w:val="pt-BR"/>
              </w:rPr>
              <w:t>Taikomi reikalavimai, nustatyti Reglamente (EB) Nr. 1069/2009</w:t>
            </w:r>
            <w:r>
              <w:rPr>
                <w:rFonts w:ascii="Times New Roman" w:hAnsi="Times New Roman"/>
                <w:color w:val="215E99"/>
                <w:sz w:val="22"/>
                <w:szCs w:val="22"/>
                <w:lang w:val="pt-BR"/>
              </w:rPr>
              <w:t>.</w:t>
            </w:r>
            <w:r>
              <w:rPr>
                <w:rFonts w:ascii="Times New Roman" w:hAnsi="Times New Roman"/>
                <w:color w:val="215E99"/>
                <w:sz w:val="22"/>
                <w:szCs w:val="22"/>
              </w:rPr>
              <w:t>]</w:t>
            </w:r>
          </w:p>
        </w:tc>
      </w:tr>
      <w:tr w:rsidR="00B22956" w:rsidRPr="00FD743A" w14:paraId="164A91A7" w14:textId="77777777" w:rsidTr="00A96C1C">
        <w:trPr>
          <w:cantSplit/>
          <w:trHeight w:val="22"/>
        </w:trPr>
        <w:tc>
          <w:tcPr>
            <w:tcW w:w="14688" w:type="dxa"/>
            <w:gridSpan w:val="8"/>
          </w:tcPr>
          <w:p w14:paraId="74204D83" w14:textId="77777777" w:rsidR="00B22956" w:rsidRPr="001840DB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</w:pPr>
            <w:r w:rsidRPr="001840DB"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  <w:t>Reikalavimai šalutini</w:t>
            </w:r>
            <w:r w:rsidRPr="001840DB">
              <w:rPr>
                <w:rFonts w:ascii="Times New Roman" w:hAnsi="Times New Roman" w:hint="eastAsia"/>
                <w:b/>
                <w:bCs/>
                <w:sz w:val="22"/>
                <w:szCs w:val="22"/>
                <w:lang w:val="pt-BR"/>
              </w:rPr>
              <w:t>ų</w:t>
            </w:r>
            <w:r w:rsidRPr="001840DB"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  <w:t xml:space="preserve"> gyvūninių produkt</w:t>
            </w:r>
            <w:r w:rsidRPr="001840DB">
              <w:rPr>
                <w:rFonts w:ascii="Times New Roman" w:hAnsi="Times New Roman" w:hint="eastAsia"/>
                <w:b/>
                <w:bCs/>
                <w:sz w:val="22"/>
                <w:szCs w:val="22"/>
                <w:lang w:val="pt-BR"/>
              </w:rPr>
              <w:t>ų</w:t>
            </w:r>
            <w:r w:rsidRPr="001840DB"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  <w:t xml:space="preserve"> gaminių sandėliavimui / transportavimui</w:t>
            </w:r>
          </w:p>
        </w:tc>
      </w:tr>
      <w:tr w:rsidR="00B22956" w:rsidRPr="00622377" w14:paraId="6834F992" w14:textId="77777777" w:rsidTr="00A96C1C">
        <w:trPr>
          <w:gridAfter w:val="1"/>
          <w:wAfter w:w="47" w:type="dxa"/>
          <w:cantSplit/>
          <w:trHeight w:val="22"/>
        </w:trPr>
        <w:tc>
          <w:tcPr>
            <w:tcW w:w="703" w:type="dxa"/>
          </w:tcPr>
          <w:p w14:paraId="45C27F45" w14:textId="77777777" w:rsidR="00B22956" w:rsidRPr="001840DB" w:rsidRDefault="00B22956" w:rsidP="00B22956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3689" w:type="dxa"/>
          </w:tcPr>
          <w:p w14:paraId="51995E78" w14:textId="77777777" w:rsidR="00B22956" w:rsidRPr="00622377" w:rsidRDefault="00B22956" w:rsidP="00A96C1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22377">
              <w:rPr>
                <w:sz w:val="22"/>
                <w:szCs w:val="22"/>
              </w:rPr>
              <w:t>Ar palaidų šalutinių gyvūninių produktų gaminių ir (ar) jų turinčių kombinuotųjų pašarų sandėliavimui</w:t>
            </w:r>
            <w:r w:rsidRPr="2918FE7E">
              <w:rPr>
                <w:sz w:val="22"/>
                <w:szCs w:val="22"/>
              </w:rPr>
              <w:t xml:space="preserve"> </w:t>
            </w:r>
            <w:r w:rsidRPr="00622377">
              <w:rPr>
                <w:sz w:val="22"/>
                <w:szCs w:val="22"/>
              </w:rPr>
              <w:t>/ vežimui skirtos transporto priemonės</w:t>
            </w:r>
            <w:r w:rsidRPr="2918FE7E">
              <w:rPr>
                <w:sz w:val="22"/>
                <w:szCs w:val="22"/>
              </w:rPr>
              <w:t xml:space="preserve"> </w:t>
            </w:r>
            <w:r w:rsidRPr="00622377">
              <w:rPr>
                <w:sz w:val="22"/>
                <w:szCs w:val="22"/>
              </w:rPr>
              <w:t>/ talpyklos, sandėliavimo patalpos, nenaudojamos pašarų gyvūnams, kuriems tuos šalutinių gyvūninių produktų gaminius draudžiama naudoti, sandėliavimui</w:t>
            </w:r>
            <w:r w:rsidRPr="2918FE7E">
              <w:rPr>
                <w:sz w:val="22"/>
                <w:szCs w:val="22"/>
              </w:rPr>
              <w:t xml:space="preserve"> </w:t>
            </w:r>
            <w:r w:rsidRPr="00622377">
              <w:rPr>
                <w:sz w:val="22"/>
                <w:szCs w:val="22"/>
              </w:rPr>
              <w:t xml:space="preserve">/ transportavimui, išskyrus </w:t>
            </w:r>
            <w:r>
              <w:rPr>
                <w:sz w:val="22"/>
                <w:szCs w:val="22"/>
              </w:rPr>
              <w:t xml:space="preserve">nustatytas </w:t>
            </w:r>
            <w:r w:rsidRPr="00622377">
              <w:rPr>
                <w:sz w:val="22"/>
                <w:szCs w:val="22"/>
              </w:rPr>
              <w:t>išimtis?</w:t>
            </w:r>
          </w:p>
        </w:tc>
        <w:tc>
          <w:tcPr>
            <w:tcW w:w="2578" w:type="dxa"/>
          </w:tcPr>
          <w:p w14:paraId="03CA0AB9" w14:textId="77777777" w:rsidR="00B22956" w:rsidRPr="00B37C29" w:rsidRDefault="00B22956" w:rsidP="00A96C1C">
            <w:p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hyperlink r:id="rId13" w:history="1">
              <w:r w:rsidRPr="000A074A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lt-LT" w:eastAsia="lt-LT"/>
                </w:rPr>
                <w:t>[1]</w:t>
              </w:r>
            </w:hyperlink>
            <w:r w:rsidRPr="00B37C29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 IV priedo III skyriaus A skirsnio 1, 2, 4</w:t>
            </w: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–</w:t>
            </w:r>
            <w:r w:rsidRPr="00B37C29">
              <w:rPr>
                <w:rFonts w:ascii="Times New Roman" w:hAnsi="Times New Roman"/>
                <w:sz w:val="22"/>
                <w:szCs w:val="22"/>
                <w:lang w:val="lt-LT" w:eastAsia="lt-LT"/>
              </w:rPr>
              <w:t>11 punktai, punktai, IV skyriaus, E skirsnio g punktas, V skyriaus B skirsnio 1, 2 punktai.</w:t>
            </w:r>
          </w:p>
        </w:tc>
        <w:tc>
          <w:tcPr>
            <w:tcW w:w="900" w:type="dxa"/>
            <w:shd w:val="clear" w:color="auto" w:fill="FFFFFF"/>
          </w:tcPr>
          <w:p w14:paraId="790A089C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17" w:type="dxa"/>
            <w:shd w:val="clear" w:color="auto" w:fill="FFFFFF"/>
          </w:tcPr>
          <w:p w14:paraId="10F94BBA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46DAC635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14:paraId="51F2BC77" w14:textId="77777777" w:rsidR="00B22956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color w:val="215E99"/>
                <w:sz w:val="22"/>
                <w:szCs w:val="22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 w:eastAsia="lt-LT"/>
              </w:rPr>
              <w:t>Tose pačiose transporto priemonėse, talpyklose gali būti sandėliuojami / vežami kelių rūšių pašarai, kai transporto priemonės bei talpyklos išvalomos pagal rašytinę procedūrą, patvirtintą VMVT.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215E99"/>
                <w:sz w:val="22"/>
                <w:szCs w:val="22"/>
              </w:rPr>
              <w:t>Išimtys nustatytos Reglamente (EB) Nr. 999/2001.]</w:t>
            </w:r>
          </w:p>
        </w:tc>
      </w:tr>
      <w:tr w:rsidR="00B22956" w:rsidRPr="00627AD2" w14:paraId="5129A2F5" w14:textId="77777777" w:rsidTr="00A96C1C">
        <w:trPr>
          <w:gridAfter w:val="1"/>
          <w:wAfter w:w="47" w:type="dxa"/>
          <w:cantSplit/>
          <w:trHeight w:val="22"/>
        </w:trPr>
        <w:tc>
          <w:tcPr>
            <w:tcW w:w="703" w:type="dxa"/>
          </w:tcPr>
          <w:p w14:paraId="535735CC" w14:textId="77777777" w:rsidR="00B22956" w:rsidRPr="00622377" w:rsidRDefault="00B22956" w:rsidP="00B22956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689" w:type="dxa"/>
          </w:tcPr>
          <w:p w14:paraId="53B7B231" w14:textId="77777777" w:rsidR="00B22956" w:rsidRPr="002950C7" w:rsidRDefault="00B22956" w:rsidP="00A96C1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2950C7">
              <w:rPr>
                <w:sz w:val="22"/>
                <w:szCs w:val="22"/>
              </w:rPr>
              <w:t>Ar transporto priemonių, konteinerių ir sandėliavimo patalpų valymas atliekamas pagal patvirtintą rašytinę procedūrą?</w:t>
            </w:r>
          </w:p>
        </w:tc>
        <w:tc>
          <w:tcPr>
            <w:tcW w:w="2578" w:type="dxa"/>
          </w:tcPr>
          <w:p w14:paraId="493BEEE5" w14:textId="77777777" w:rsidR="00B22956" w:rsidRPr="00B37C29" w:rsidRDefault="00B22956" w:rsidP="00A96C1C">
            <w:pPr>
              <w:outlineLvl w:val="2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hyperlink r:id="rId14" w:history="1">
              <w:r w:rsidRPr="000A074A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lt-LT" w:eastAsia="lt-LT"/>
                </w:rPr>
                <w:t>[1]</w:t>
              </w:r>
            </w:hyperlink>
            <w:r w:rsidRPr="00B37C29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 IV priedo III skyriaus A skirsnio 2, 5, 7, 9, 11 punktai, IV skyriaus, E skirsnio g punktas, V skyriaus B skirsnio 2 punktas</w:t>
            </w:r>
          </w:p>
        </w:tc>
        <w:tc>
          <w:tcPr>
            <w:tcW w:w="900" w:type="dxa"/>
            <w:shd w:val="clear" w:color="auto" w:fill="FFFFFF"/>
          </w:tcPr>
          <w:p w14:paraId="1B48B304" w14:textId="77777777" w:rsidR="00B22956" w:rsidRPr="002950C7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17" w:type="dxa"/>
            <w:shd w:val="clear" w:color="auto" w:fill="FFFFFF"/>
          </w:tcPr>
          <w:p w14:paraId="4F08628A" w14:textId="77777777" w:rsidR="00B22956" w:rsidRPr="002950C7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0FB929EB" w14:textId="77777777" w:rsidR="00B22956" w:rsidRPr="002950C7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14:paraId="4D89D16B" w14:textId="77777777" w:rsidR="00B22956" w:rsidRPr="00B37C29" w:rsidRDefault="00B22956" w:rsidP="00A96C1C">
            <w:pPr>
              <w:rPr>
                <w:rFonts w:ascii="Times New Roman" w:hAnsi="Times New Roman"/>
                <w:color w:val="215E99"/>
                <w:sz w:val="22"/>
                <w:szCs w:val="22"/>
                <w:lang w:val="lt-LT" w:eastAsia="lt-LT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 w:eastAsia="lt-LT"/>
              </w:rPr>
              <w:t>Taikoma įmonėms, jei vykdomas atitinkamai kitų nei nurodyta 6 klausime pašarų sandėliavimas / vežimas.</w:t>
            </w:r>
          </w:p>
          <w:p w14:paraId="3B33E6CA" w14:textId="77777777" w:rsidR="00B22956" w:rsidRPr="00B37C29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 w:eastAsia="lt-LT"/>
              </w:rPr>
              <w:t>Rašytinė procedūra turi būti VMVT peržiūrėta ir pripažinta kaip tinkama.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  <w:r w:rsidRPr="00B37C29">
              <w:rPr>
                <w:rStyle w:val="Strong"/>
                <w:rFonts w:ascii="Times New Roman" w:hAnsi="Times New Roman"/>
                <w:color w:val="215E99"/>
                <w:sz w:val="22"/>
                <w:szCs w:val="22"/>
                <w:lang w:val="lt-LT"/>
              </w:rPr>
              <w:t xml:space="preserve"> </w:t>
            </w:r>
          </w:p>
        </w:tc>
      </w:tr>
      <w:tr w:rsidR="00B22956" w:rsidRPr="00627AD2" w14:paraId="3982D2F9" w14:textId="77777777" w:rsidTr="00A96C1C">
        <w:trPr>
          <w:gridAfter w:val="1"/>
          <w:wAfter w:w="47" w:type="dxa"/>
          <w:cantSplit/>
          <w:trHeight w:val="22"/>
        </w:trPr>
        <w:tc>
          <w:tcPr>
            <w:tcW w:w="703" w:type="dxa"/>
          </w:tcPr>
          <w:p w14:paraId="455D6719" w14:textId="77777777" w:rsidR="00B22956" w:rsidRPr="00B37C29" w:rsidRDefault="00B22956" w:rsidP="00B22956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</w:pPr>
          </w:p>
        </w:tc>
        <w:tc>
          <w:tcPr>
            <w:tcW w:w="3689" w:type="dxa"/>
          </w:tcPr>
          <w:p w14:paraId="2B48F89C" w14:textId="77777777" w:rsidR="00B22956" w:rsidRPr="00622377" w:rsidRDefault="00B22956" w:rsidP="00A96C1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22377">
              <w:rPr>
                <w:sz w:val="22"/>
                <w:szCs w:val="22"/>
              </w:rPr>
              <w:t xml:space="preserve">Ar </w:t>
            </w:r>
            <w:r w:rsidRPr="002950C7">
              <w:rPr>
                <w:sz w:val="22"/>
                <w:szCs w:val="22"/>
              </w:rPr>
              <w:t xml:space="preserve"> transporto priemonių, konteinerių ir sandėliavimo patalpų </w:t>
            </w:r>
            <w:r w:rsidRPr="00622377">
              <w:rPr>
                <w:sz w:val="22"/>
                <w:szCs w:val="22"/>
              </w:rPr>
              <w:t>valymo įrašai saugomi bent 2 metus?</w:t>
            </w:r>
          </w:p>
        </w:tc>
        <w:tc>
          <w:tcPr>
            <w:tcW w:w="2578" w:type="dxa"/>
          </w:tcPr>
          <w:p w14:paraId="297639F0" w14:textId="77777777" w:rsidR="00B22956" w:rsidRPr="00B37C29" w:rsidRDefault="00B22956" w:rsidP="00A96C1C">
            <w:pPr>
              <w:outlineLvl w:val="2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hyperlink r:id="rId15" w:history="1">
              <w:r w:rsidRPr="000A074A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lt-LT" w:eastAsia="lt-LT"/>
                </w:rPr>
                <w:t>[1]</w:t>
              </w:r>
            </w:hyperlink>
            <w:r w:rsidRPr="00B37C29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 IV priedo III skyriaus A skirsnio 2, 5, 7, 9, 11 punktai, IV skyriaus, E skirsnio g punktas, V skyriaus B skirsnio 2 punktas</w:t>
            </w:r>
          </w:p>
        </w:tc>
        <w:tc>
          <w:tcPr>
            <w:tcW w:w="900" w:type="dxa"/>
            <w:shd w:val="clear" w:color="auto" w:fill="FFFFFF"/>
          </w:tcPr>
          <w:p w14:paraId="379967AE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17" w:type="dxa"/>
            <w:shd w:val="clear" w:color="auto" w:fill="FFFFFF"/>
          </w:tcPr>
          <w:p w14:paraId="132B6098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02256DA8" w14:textId="77777777" w:rsidR="00B22956" w:rsidRPr="00622377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14:paraId="70EC6F9D" w14:textId="77777777" w:rsidR="00B22956" w:rsidRPr="00B37C29" w:rsidRDefault="00B22956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 w:eastAsia="lt-LT"/>
              </w:rPr>
              <w:t>Taikoma įmonėms, jei vykdomas atitinkamai kitų nei nurodyta 6 klausime pašarų sandėliavimas / vežimas.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</w:tbl>
    <w:p w14:paraId="6AE46B74" w14:textId="77777777" w:rsidR="00B22956" w:rsidRDefault="00B22956" w:rsidP="00B22956">
      <w:pPr>
        <w:ind w:right="828"/>
        <w:jc w:val="both"/>
        <w:rPr>
          <w:rFonts w:ascii="Times New Roman" w:hAnsi="Times New Roman"/>
          <w:bCs/>
          <w:sz w:val="22"/>
          <w:szCs w:val="22"/>
          <w:lang w:val="lt-LT"/>
        </w:rPr>
      </w:pPr>
    </w:p>
    <w:p w14:paraId="57FB288A" w14:textId="77777777" w:rsidR="00B22956" w:rsidRDefault="00B22956" w:rsidP="00B22956">
      <w:pPr>
        <w:ind w:right="828"/>
        <w:jc w:val="both"/>
        <w:rPr>
          <w:rFonts w:ascii="Times New Roman" w:hAnsi="Times New Roman"/>
          <w:bCs/>
          <w:sz w:val="22"/>
          <w:szCs w:val="22"/>
          <w:lang w:val="lt-LT"/>
        </w:rPr>
      </w:pPr>
      <w:r w:rsidRPr="00291270">
        <w:rPr>
          <w:rFonts w:ascii="Times New Roman" w:hAnsi="Times New Roman"/>
          <w:bCs/>
          <w:sz w:val="22"/>
          <w:szCs w:val="22"/>
          <w:lang w:val="lt-LT"/>
        </w:rPr>
        <w:t>Teisės aktų, pagal kuriuos atliekamas reikalavimo atitikties įvertinimas, sąrašas:</w:t>
      </w:r>
    </w:p>
    <w:p w14:paraId="594F2972" w14:textId="77777777" w:rsidR="00B22956" w:rsidRPr="00291270" w:rsidRDefault="00B22956" w:rsidP="00B22956">
      <w:pPr>
        <w:ind w:right="828"/>
        <w:jc w:val="both"/>
        <w:rPr>
          <w:rFonts w:ascii="Times New Roman" w:hAnsi="Times New Roman"/>
          <w:bCs/>
          <w:sz w:val="22"/>
          <w:szCs w:val="22"/>
          <w:lang w:val="lt-LT"/>
        </w:rPr>
      </w:pPr>
    </w:p>
    <w:p w14:paraId="4CF5E928" w14:textId="77777777" w:rsidR="00B22956" w:rsidRPr="000A074A" w:rsidRDefault="00B22956" w:rsidP="00B22956">
      <w:pPr>
        <w:numPr>
          <w:ilvl w:val="0"/>
          <w:numId w:val="2"/>
        </w:numPr>
        <w:ind w:right="828"/>
        <w:jc w:val="both"/>
        <w:rPr>
          <w:rFonts w:ascii="Times New Roman" w:hAnsi="Times New Roman"/>
          <w:bCs/>
          <w:sz w:val="22"/>
          <w:szCs w:val="22"/>
          <w:lang w:val="lt-LT"/>
        </w:rPr>
      </w:pPr>
      <w:r w:rsidRPr="000A074A">
        <w:rPr>
          <w:rFonts w:ascii="Times New Roman" w:hAnsi="Times New Roman"/>
          <w:sz w:val="22"/>
          <w:szCs w:val="22"/>
          <w:shd w:val="clear" w:color="auto" w:fill="FFFFFF"/>
        </w:rPr>
        <w:t>2001 m. gegužės 22 d. Europos Parlamento ir Tarybos reglamentas (EB) Nr. 999/2001 nustatantis tam tikrų užkrečiamųjų spongiforminių encefalopatijų prevencijos, kontrolės ir likvidavimo taisykles;</w:t>
      </w:r>
    </w:p>
    <w:p w14:paraId="10FE8F35" w14:textId="77777777" w:rsidR="00B22956" w:rsidRPr="000A074A" w:rsidRDefault="00B22956" w:rsidP="00B22956">
      <w:pPr>
        <w:ind w:left="720" w:right="828"/>
        <w:jc w:val="both"/>
        <w:rPr>
          <w:rFonts w:ascii="Times New Roman" w:hAnsi="Times New Roman"/>
          <w:sz w:val="22"/>
          <w:szCs w:val="22"/>
        </w:rPr>
      </w:pPr>
      <w:hyperlink r:id="rId16" w:history="1">
        <w:r w:rsidRPr="000A074A">
          <w:rPr>
            <w:rStyle w:val="Hyperlink"/>
            <w:rFonts w:ascii="Times New Roman" w:eastAsiaTheme="majorEastAsia" w:hAnsi="Times New Roman"/>
            <w:color w:val="auto"/>
            <w:sz w:val="22"/>
            <w:szCs w:val="22"/>
          </w:rPr>
          <w:t>https://eur-lex.europa.eu/legal-content/LT/TXT/HTML/?uri=CELEX:02001R0999-20250312</w:t>
        </w:r>
      </w:hyperlink>
    </w:p>
    <w:p w14:paraId="10C89868" w14:textId="77777777" w:rsidR="00B22956" w:rsidRPr="000A074A" w:rsidRDefault="00B22956" w:rsidP="00B22956">
      <w:pPr>
        <w:numPr>
          <w:ilvl w:val="0"/>
          <w:numId w:val="2"/>
        </w:numPr>
        <w:ind w:right="828"/>
        <w:jc w:val="both"/>
        <w:rPr>
          <w:rFonts w:ascii="Times New Roman" w:hAnsi="Times New Roman"/>
          <w:bCs/>
          <w:sz w:val="22"/>
          <w:szCs w:val="22"/>
          <w:lang w:val="lt-LT"/>
        </w:rPr>
      </w:pPr>
      <w:r w:rsidRPr="000A074A">
        <w:rPr>
          <w:rStyle w:val="Strong"/>
          <w:rFonts w:ascii="Times New Roman" w:hAnsi="Times New Roman"/>
          <w:sz w:val="22"/>
          <w:szCs w:val="22"/>
          <w:lang w:val="lt-LT"/>
        </w:rPr>
        <w:t>2005 m. sausio 12 d. Europos Parlamento ir Tarybos reglamentas (EB) Nr. 183/2005</w:t>
      </w:r>
      <w:r w:rsidRPr="000A074A">
        <w:rPr>
          <w:rFonts w:ascii="Times New Roman" w:hAnsi="Times New Roman"/>
          <w:sz w:val="22"/>
          <w:szCs w:val="22"/>
          <w:lang w:val="lt-LT"/>
        </w:rPr>
        <w:t>, nustatantis pašarų higienos reikalavimus;</w:t>
      </w:r>
    </w:p>
    <w:p w14:paraId="7A8B9170" w14:textId="77777777" w:rsidR="00B22956" w:rsidRPr="000A074A" w:rsidRDefault="00B22956" w:rsidP="00B22956">
      <w:pPr>
        <w:ind w:left="720" w:right="828"/>
        <w:jc w:val="both"/>
        <w:rPr>
          <w:rFonts w:ascii="Times New Roman" w:hAnsi="Times New Roman"/>
          <w:sz w:val="22"/>
          <w:szCs w:val="22"/>
        </w:rPr>
      </w:pPr>
      <w:hyperlink r:id="rId17" w:history="1">
        <w:r w:rsidRPr="000A074A">
          <w:rPr>
            <w:rStyle w:val="Hyperlink"/>
            <w:rFonts w:ascii="Times New Roman" w:eastAsiaTheme="majorEastAsia" w:hAnsi="Times New Roman"/>
            <w:color w:val="auto"/>
            <w:sz w:val="22"/>
            <w:szCs w:val="22"/>
          </w:rPr>
          <w:t>https://eur-lex.europa.eu/legal-content/LT/TXT/HTML/?uri=CELEX:02005R0183-20220128</w:t>
        </w:r>
      </w:hyperlink>
    </w:p>
    <w:p w14:paraId="575776B7" w14:textId="77777777" w:rsidR="00B22956" w:rsidRPr="000A074A" w:rsidRDefault="00B22956" w:rsidP="00B22956">
      <w:pPr>
        <w:numPr>
          <w:ilvl w:val="0"/>
          <w:numId w:val="2"/>
        </w:numPr>
        <w:ind w:right="828"/>
        <w:jc w:val="both"/>
        <w:rPr>
          <w:rStyle w:val="Strong"/>
          <w:rFonts w:ascii="Times New Roman" w:hAnsi="Times New Roman"/>
          <w:b w:val="0"/>
          <w:sz w:val="22"/>
          <w:szCs w:val="22"/>
          <w:lang w:val="lt-LT"/>
        </w:rPr>
      </w:pPr>
      <w:r w:rsidRPr="000A074A">
        <w:rPr>
          <w:rStyle w:val="Strong"/>
          <w:rFonts w:ascii="Times New Roman" w:hAnsi="Times New Roman"/>
          <w:sz w:val="22"/>
          <w:szCs w:val="22"/>
          <w:lang w:val="lt-LT"/>
        </w:rPr>
        <w:t>2009 m. spalio 21 d. Europos Parlamento ir Tarybos reglamentas (EB) Nr. 1069/2009 kuriuo nustatomos žmonėms vartoti neskirtų šalutinių gyvūninių produktų ir jų gaminių sveikumo taisyklės ir panaikinamas Reglamentas (EB) Nr. 1774/2002 (Šalutinių gyvūninių produktų reglamentas);</w:t>
      </w:r>
    </w:p>
    <w:p w14:paraId="51721C3A" w14:textId="77777777" w:rsidR="00B22956" w:rsidRPr="000A074A" w:rsidRDefault="00B22956" w:rsidP="00B22956">
      <w:pPr>
        <w:ind w:left="720" w:right="828"/>
        <w:jc w:val="both"/>
        <w:rPr>
          <w:rFonts w:ascii="Times New Roman" w:hAnsi="Times New Roman"/>
          <w:sz w:val="22"/>
          <w:szCs w:val="22"/>
        </w:rPr>
      </w:pPr>
      <w:hyperlink r:id="rId18" w:history="1">
        <w:r w:rsidRPr="000A074A">
          <w:rPr>
            <w:rStyle w:val="Hyperlink"/>
            <w:rFonts w:ascii="Times New Roman" w:eastAsiaTheme="majorEastAsia" w:hAnsi="Times New Roman"/>
            <w:color w:val="auto"/>
            <w:sz w:val="22"/>
            <w:szCs w:val="22"/>
          </w:rPr>
          <w:t>https://eur-lex.europa.eu/legal-content/LT/TXT/HTML/?uri=CELEX:02009R1069-20191214</w:t>
        </w:r>
      </w:hyperlink>
    </w:p>
    <w:p w14:paraId="21B1BD6E" w14:textId="77777777" w:rsidR="00B22956" w:rsidRPr="000A074A" w:rsidRDefault="00B22956" w:rsidP="00B22956">
      <w:pPr>
        <w:numPr>
          <w:ilvl w:val="0"/>
          <w:numId w:val="2"/>
        </w:numPr>
        <w:ind w:right="828"/>
        <w:jc w:val="both"/>
        <w:rPr>
          <w:rFonts w:ascii="Times New Roman" w:hAnsi="Times New Roman"/>
          <w:bCs/>
          <w:sz w:val="22"/>
          <w:szCs w:val="22"/>
          <w:lang w:val="lt-LT"/>
        </w:rPr>
      </w:pPr>
      <w:r w:rsidRPr="000A074A">
        <w:rPr>
          <w:rFonts w:ascii="Times New Roman" w:hAnsi="Times New Roman"/>
          <w:sz w:val="22"/>
          <w:szCs w:val="22"/>
        </w:rPr>
        <w:t>Lietuvos Respublikos pašarų įstatymas</w:t>
      </w:r>
    </w:p>
    <w:p w14:paraId="3ABCEF11" w14:textId="77777777" w:rsidR="00B22956" w:rsidRPr="000A074A" w:rsidRDefault="00B22956" w:rsidP="00B22956">
      <w:pPr>
        <w:ind w:left="720" w:right="828"/>
        <w:jc w:val="both"/>
        <w:rPr>
          <w:rStyle w:val="Strong"/>
          <w:rFonts w:ascii="Times New Roman" w:hAnsi="Times New Roman"/>
          <w:b w:val="0"/>
          <w:bCs w:val="0"/>
          <w:snapToGrid w:val="0"/>
          <w:sz w:val="22"/>
          <w:szCs w:val="22"/>
          <w:u w:val="single"/>
        </w:rPr>
      </w:pPr>
      <w:hyperlink r:id="rId19" w:history="1">
        <w:r w:rsidRPr="000A074A">
          <w:rPr>
            <w:rStyle w:val="Hyperlink"/>
            <w:rFonts w:ascii="Times New Roman" w:eastAsiaTheme="majorEastAsia" w:hAnsi="Times New Roman"/>
            <w:snapToGrid w:val="0"/>
            <w:color w:val="auto"/>
            <w:sz w:val="22"/>
            <w:szCs w:val="22"/>
          </w:rPr>
          <w:t>https://www.e-tar.lt/portal/lt/legalAct/TAR.5B55C0654B4A/IoPylcMuKu</w:t>
        </w:r>
      </w:hyperlink>
    </w:p>
    <w:p w14:paraId="7D2C2B4D" w14:textId="77777777" w:rsidR="00B22956" w:rsidRDefault="00B22956" w:rsidP="00B22956">
      <w:pPr>
        <w:ind w:left="9639" w:right="828"/>
        <w:rPr>
          <w:rFonts w:ascii="Times New Roman" w:hAnsi="Times New Roman"/>
          <w:sz w:val="24"/>
          <w:szCs w:val="24"/>
          <w:lang w:val="lt-LT"/>
        </w:rPr>
      </w:pPr>
    </w:p>
    <w:p w14:paraId="228617CB" w14:textId="77777777" w:rsidR="00B22956" w:rsidRDefault="00B22956" w:rsidP="00B22956">
      <w:pPr>
        <w:ind w:left="9639" w:right="828"/>
        <w:rPr>
          <w:rFonts w:ascii="Times New Roman" w:hAnsi="Times New Roman"/>
          <w:sz w:val="24"/>
          <w:szCs w:val="24"/>
          <w:lang w:val="lt-LT"/>
        </w:rPr>
      </w:pPr>
    </w:p>
    <w:p w14:paraId="0D4B931A" w14:textId="77777777" w:rsidR="00B22956" w:rsidRDefault="00B22956" w:rsidP="00B22956">
      <w:pPr>
        <w:ind w:left="9639" w:right="828"/>
        <w:rPr>
          <w:rFonts w:ascii="Times New Roman" w:hAnsi="Times New Roman"/>
          <w:sz w:val="24"/>
          <w:szCs w:val="24"/>
          <w:lang w:val="lt-LT"/>
        </w:rPr>
      </w:pPr>
    </w:p>
    <w:p w14:paraId="27570372" w14:textId="77777777" w:rsidR="00B22956" w:rsidRDefault="00B22956" w:rsidP="00B22956">
      <w:pPr>
        <w:ind w:left="9639" w:right="828"/>
        <w:rPr>
          <w:rFonts w:ascii="Times New Roman" w:hAnsi="Times New Roman"/>
          <w:sz w:val="24"/>
          <w:szCs w:val="24"/>
          <w:lang w:val="lt-LT"/>
        </w:rPr>
      </w:pPr>
    </w:p>
    <w:p w14:paraId="76784760" w14:textId="77777777" w:rsidR="008C79E6" w:rsidRDefault="008C79E6"/>
    <w:sectPr w:rsidR="008C79E6" w:rsidSect="00B2295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33488"/>
    <w:multiLevelType w:val="hybridMultilevel"/>
    <w:tmpl w:val="7FA8BFB6"/>
    <w:lvl w:ilvl="0" w:tplc="2090BB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817DC"/>
    <w:multiLevelType w:val="hybridMultilevel"/>
    <w:tmpl w:val="39E6A3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982250">
    <w:abstractNumId w:val="1"/>
  </w:num>
  <w:num w:numId="2" w16cid:durableId="86436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56"/>
    <w:rsid w:val="00777BB8"/>
    <w:rsid w:val="008C79E6"/>
    <w:rsid w:val="00B22956"/>
    <w:rsid w:val="00D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D15C"/>
  <w15:chartTrackingRefBased/>
  <w15:docId w15:val="{197B59AD-B6A7-4AB8-A34F-E4D1743C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956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9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9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9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9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9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9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B2295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t-LT" w:eastAsia="lt-LT"/>
    </w:rPr>
  </w:style>
  <w:style w:type="character" w:styleId="Hyperlink">
    <w:name w:val="Hyperlink"/>
    <w:uiPriority w:val="99"/>
    <w:rsid w:val="00B22956"/>
    <w:rPr>
      <w:color w:val="0000FF"/>
      <w:u w:val="single"/>
    </w:rPr>
  </w:style>
  <w:style w:type="character" w:styleId="Strong">
    <w:name w:val="Strong"/>
    <w:uiPriority w:val="22"/>
    <w:qFormat/>
    <w:rsid w:val="00B229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HTML/?uri=CELEX:02005R0183-20220128" TargetMode="External"/><Relationship Id="rId13" Type="http://schemas.openxmlformats.org/officeDocument/2006/relationships/hyperlink" Target="https://eur-lex.europa.eu/legal-content/LT/TXT/HTML/?uri=CELEX:02001R0999-20250312" TargetMode="External"/><Relationship Id="rId18" Type="http://schemas.openxmlformats.org/officeDocument/2006/relationships/hyperlink" Target="https://eur-lex.europa.eu/legal-content/LT/TXT/HTML/?uri=CELEX:02009R1069-2019121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-tar.lt/portal/lt/legalAct/TAR.5B55C0654B4A/IoPylcMuKu" TargetMode="External"/><Relationship Id="rId12" Type="http://schemas.openxmlformats.org/officeDocument/2006/relationships/hyperlink" Target="https://eur-lex.europa.eu/legal-content/LT/TXT/HTML/?uri=CELEX:02009R1069-20191214" TargetMode="External"/><Relationship Id="rId17" Type="http://schemas.openxmlformats.org/officeDocument/2006/relationships/hyperlink" Target="https://eur-lex.europa.eu/legal-content/LT/TXT/HTML/?uri=CELEX:02005R0183-202201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LT/TXT/HTML/?uri=CELEX:02001R0999-2025031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LT/TXT/HTML/?uri=CELEX:02005R0183-20220128" TargetMode="External"/><Relationship Id="rId11" Type="http://schemas.openxmlformats.org/officeDocument/2006/relationships/hyperlink" Target="https://eur-lex.europa.eu/legal-content/LT/TXT/HTML/?uri=CELEX:02005R0183-20220128" TargetMode="External"/><Relationship Id="rId5" Type="http://schemas.openxmlformats.org/officeDocument/2006/relationships/hyperlink" Target="https://eur-lex.europa.eu/legal-content/LT/TXT/HTML/?uri=CELEX:02005R0183-20220128" TargetMode="External"/><Relationship Id="rId15" Type="http://schemas.openxmlformats.org/officeDocument/2006/relationships/hyperlink" Target="https://eur-lex.europa.eu/legal-content/LT/TXT/HTML/?uri=CELEX:02001R0999-20250312" TargetMode="External"/><Relationship Id="rId10" Type="http://schemas.openxmlformats.org/officeDocument/2006/relationships/hyperlink" Target="https://eur-lex.europa.eu/legal-content/LT/TXT/HTML/?uri=CELEX:02005R0183-20220128" TargetMode="External"/><Relationship Id="rId19" Type="http://schemas.openxmlformats.org/officeDocument/2006/relationships/hyperlink" Target="https://www.e-tar.lt/portal/lt/legalAct/TAR.5B55C0654B4A/IoPylcMu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/TAR.5B55C0654B4A/IoPylcMuKu" TargetMode="External"/><Relationship Id="rId14" Type="http://schemas.openxmlformats.org/officeDocument/2006/relationships/hyperlink" Target="https://eur-lex.europa.eu/legal-content/LT/TXT/HTML/?uri=CELEX:02001R0999-2025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3778</Words>
  <Characters>2155</Characters>
  <Application>Microsoft Office Word</Application>
  <DocSecurity>0</DocSecurity>
  <Lines>17</Lines>
  <Paragraphs>11</Paragraphs>
  <ScaleCrop>false</ScaleCrop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2026-04-17T05:41:00Z</dcterms:created>
  <dcterms:modified xsi:type="dcterms:W3CDTF">2026-04-17T05:42:00Z</dcterms:modified>
</cp:coreProperties>
</file>