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9196" w14:textId="71DCD163" w:rsidR="00B3403D" w:rsidRDefault="56A27A57" w:rsidP="2A11AD8B">
      <w:pPr>
        <w:widowControl w:val="0"/>
        <w:shd w:val="clear" w:color="auto" w:fill="FFFFFF" w:themeFill="background1"/>
        <w:tabs>
          <w:tab w:val="left" w:leader="underscore" w:pos="4752"/>
        </w:tabs>
        <w:jc w:val="center"/>
        <w:rPr>
          <w:b/>
          <w:bCs/>
        </w:rPr>
      </w:pPr>
      <w:r w:rsidRPr="038AB047">
        <w:rPr>
          <w:b/>
          <w:bCs/>
        </w:rPr>
        <w:t xml:space="preserve"> </w:t>
      </w:r>
      <w:r w:rsidR="00B3403D" w:rsidRPr="038AB047">
        <w:rPr>
          <w:b/>
          <w:bCs/>
        </w:rPr>
        <w:t>SPECIALIŲJŲ REIKALAVIMŲ ALKOHOLINIŲ GĖRIMŲ GAMYBOS SUBJEKTO</w:t>
      </w:r>
    </w:p>
    <w:p w14:paraId="33C23D8A" w14:textId="12D01711" w:rsidR="005F73E6" w:rsidRDefault="00607FF7" w:rsidP="2A11AD8B">
      <w:pPr>
        <w:widowControl w:val="0"/>
        <w:shd w:val="clear" w:color="auto" w:fill="FFFFFF" w:themeFill="background1"/>
        <w:tabs>
          <w:tab w:val="left" w:leader="underscore" w:pos="4752"/>
        </w:tabs>
        <w:jc w:val="center"/>
        <w:rPr>
          <w:b/>
        </w:rPr>
      </w:pPr>
      <w:r w:rsidRPr="006D614D">
        <w:rPr>
          <w:b/>
          <w:bCs/>
        </w:rPr>
        <w:t>KONTROLINIS</w:t>
      </w:r>
      <w:r w:rsidRPr="006D614D">
        <w:rPr>
          <w:b/>
        </w:rPr>
        <w:t xml:space="preserve"> KLAUSIMYNAS </w:t>
      </w:r>
    </w:p>
    <w:p w14:paraId="27626B7E" w14:textId="77777777" w:rsidR="00256513" w:rsidRPr="006D614D" w:rsidRDefault="00256513">
      <w:pPr>
        <w:widowControl w:val="0"/>
        <w:ind w:firstLine="709"/>
      </w:pPr>
    </w:p>
    <w:tbl>
      <w:tblPr>
        <w:tblW w:w="13459" w:type="dxa"/>
        <w:tblLayout w:type="fixed"/>
        <w:tblCellMar>
          <w:left w:w="40" w:type="dxa"/>
          <w:right w:w="40" w:type="dxa"/>
        </w:tblCellMar>
        <w:tblLook w:val="0000" w:firstRow="0" w:lastRow="0" w:firstColumn="0" w:lastColumn="0" w:noHBand="0" w:noVBand="0"/>
      </w:tblPr>
      <w:tblGrid>
        <w:gridCol w:w="985"/>
        <w:gridCol w:w="3543"/>
        <w:gridCol w:w="1418"/>
        <w:gridCol w:w="992"/>
        <w:gridCol w:w="851"/>
        <w:gridCol w:w="1134"/>
        <w:gridCol w:w="4536"/>
      </w:tblGrid>
      <w:tr w:rsidR="006A2BC5" w:rsidRPr="006D614D" w14:paraId="67D59AF4" w14:textId="6BE89245" w:rsidTr="038AB047">
        <w:trPr>
          <w:cantSplit/>
          <w:trHeight w:val="22"/>
        </w:trPr>
        <w:tc>
          <w:tcPr>
            <w:tcW w:w="985" w:type="dxa"/>
            <w:vMerge w:val="restart"/>
            <w:tcBorders>
              <w:top w:val="single" w:sz="6" w:space="0" w:color="auto"/>
              <w:left w:val="single" w:sz="6" w:space="0" w:color="auto"/>
              <w:right w:val="single" w:sz="6" w:space="0" w:color="auto"/>
            </w:tcBorders>
            <w:shd w:val="clear" w:color="auto" w:fill="FFFFFF" w:themeFill="background1"/>
          </w:tcPr>
          <w:p w14:paraId="05C29047" w14:textId="2F42030D" w:rsidR="006A2BC5" w:rsidRPr="006D614D" w:rsidRDefault="006A2BC5" w:rsidP="005C1FDC">
            <w:pPr>
              <w:widowControl w:val="0"/>
              <w:shd w:val="clear" w:color="auto" w:fill="FFFFFF"/>
              <w:jc w:val="center"/>
              <w:rPr>
                <w:sz w:val="20"/>
              </w:rPr>
            </w:pPr>
            <w:r w:rsidRPr="006D614D">
              <w:rPr>
                <w:sz w:val="20"/>
              </w:rPr>
              <w:t>Eil. Nr.</w:t>
            </w:r>
          </w:p>
        </w:tc>
        <w:tc>
          <w:tcPr>
            <w:tcW w:w="3543" w:type="dxa"/>
            <w:vMerge w:val="restart"/>
            <w:tcBorders>
              <w:top w:val="single" w:sz="6" w:space="0" w:color="auto"/>
              <w:left w:val="single" w:sz="6" w:space="0" w:color="auto"/>
              <w:right w:val="single" w:sz="6" w:space="0" w:color="auto"/>
            </w:tcBorders>
            <w:shd w:val="clear" w:color="auto" w:fill="FFFFFF" w:themeFill="background1"/>
          </w:tcPr>
          <w:p w14:paraId="14259C8F" w14:textId="2EB57F1E" w:rsidR="006A2BC5" w:rsidRPr="006D614D" w:rsidRDefault="006A2BC5" w:rsidP="006A2F16">
            <w:pPr>
              <w:widowControl w:val="0"/>
              <w:shd w:val="clear" w:color="auto" w:fill="FFFFFF"/>
              <w:jc w:val="center"/>
              <w:rPr>
                <w:sz w:val="20"/>
              </w:rPr>
            </w:pPr>
            <w:r w:rsidRPr="006D614D">
              <w:rPr>
                <w:sz w:val="20"/>
              </w:rPr>
              <w:t>Reikalavimas</w:t>
            </w:r>
          </w:p>
        </w:tc>
        <w:tc>
          <w:tcPr>
            <w:tcW w:w="1418" w:type="dxa"/>
            <w:vMerge w:val="restart"/>
            <w:tcBorders>
              <w:top w:val="single" w:sz="6" w:space="0" w:color="auto"/>
              <w:left w:val="single" w:sz="6" w:space="0" w:color="auto"/>
              <w:right w:val="single" w:sz="6" w:space="0" w:color="auto"/>
            </w:tcBorders>
            <w:shd w:val="clear" w:color="auto" w:fill="FFFFFF" w:themeFill="background1"/>
          </w:tcPr>
          <w:p w14:paraId="56DA144F" w14:textId="5578F4A5" w:rsidR="006A2BC5" w:rsidRPr="006D614D" w:rsidRDefault="006A2BC5"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1F3C63C" w14:textId="2C912235" w:rsidR="006A2BC5" w:rsidRPr="006D614D" w:rsidRDefault="006A2BC5" w:rsidP="0024125B">
            <w:pPr>
              <w:widowControl w:val="0"/>
              <w:shd w:val="clear" w:color="auto" w:fill="FFFFFF"/>
              <w:jc w:val="center"/>
              <w:rPr>
                <w:sz w:val="20"/>
              </w:rPr>
            </w:pPr>
            <w:r w:rsidRPr="006D614D">
              <w:rPr>
                <w:sz w:val="20"/>
              </w:rPr>
              <w:t>Atitikties įvertinimas</w:t>
            </w:r>
          </w:p>
        </w:tc>
        <w:tc>
          <w:tcPr>
            <w:tcW w:w="4536" w:type="dxa"/>
            <w:tcBorders>
              <w:top w:val="single" w:sz="6" w:space="0" w:color="auto"/>
              <w:left w:val="single" w:sz="6" w:space="0" w:color="auto"/>
              <w:right w:val="single" w:sz="6" w:space="0" w:color="auto"/>
            </w:tcBorders>
            <w:shd w:val="clear" w:color="auto" w:fill="FFFFFF" w:themeFill="background1"/>
          </w:tcPr>
          <w:p w14:paraId="0008ACB0" w14:textId="0400DFA1" w:rsidR="006A2BC5" w:rsidRPr="006D614D" w:rsidRDefault="006A2BC5" w:rsidP="006A2BC5">
            <w:pPr>
              <w:widowControl w:val="0"/>
              <w:shd w:val="clear" w:color="auto" w:fill="FFFFFF"/>
              <w:jc w:val="center"/>
              <w:rPr>
                <w:sz w:val="20"/>
              </w:rPr>
            </w:pPr>
            <w:r w:rsidRPr="006D614D">
              <w:rPr>
                <w:sz w:val="20"/>
              </w:rPr>
              <w:t>Pastabos</w:t>
            </w:r>
          </w:p>
        </w:tc>
      </w:tr>
      <w:tr w:rsidR="006A2BC5" w:rsidRPr="006D614D" w14:paraId="35D9C23E" w14:textId="24818593" w:rsidTr="038AB047">
        <w:trPr>
          <w:cantSplit/>
          <w:trHeight w:val="22"/>
        </w:trPr>
        <w:tc>
          <w:tcPr>
            <w:tcW w:w="985" w:type="dxa"/>
            <w:vMerge/>
          </w:tcPr>
          <w:p w14:paraId="08A66A44" w14:textId="77777777" w:rsidR="006A2BC5" w:rsidRPr="006D614D" w:rsidRDefault="006A2BC5" w:rsidP="005C1FDC">
            <w:pPr>
              <w:widowControl w:val="0"/>
              <w:shd w:val="clear" w:color="auto" w:fill="FFFFFF"/>
              <w:jc w:val="center"/>
              <w:rPr>
                <w:sz w:val="20"/>
              </w:rPr>
            </w:pPr>
          </w:p>
        </w:tc>
        <w:tc>
          <w:tcPr>
            <w:tcW w:w="3543" w:type="dxa"/>
            <w:vMerge/>
          </w:tcPr>
          <w:p w14:paraId="73475D42" w14:textId="62CEF0AA" w:rsidR="006A2BC5" w:rsidRPr="006D614D" w:rsidRDefault="006A2BC5">
            <w:pPr>
              <w:widowControl w:val="0"/>
              <w:shd w:val="clear" w:color="auto" w:fill="FFFFFF"/>
              <w:rPr>
                <w:sz w:val="20"/>
              </w:rPr>
            </w:pPr>
          </w:p>
        </w:tc>
        <w:tc>
          <w:tcPr>
            <w:tcW w:w="1418" w:type="dxa"/>
            <w:vMerge/>
          </w:tcPr>
          <w:p w14:paraId="6F9CCCA2" w14:textId="0C9F02A3" w:rsidR="006A2BC5" w:rsidRPr="006D614D" w:rsidRDefault="006A2BC5"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4333A28" w14:textId="456C87A6" w:rsidR="006A2BC5" w:rsidRPr="006D614D" w:rsidRDefault="006A2BC5"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98F3622" w14:textId="1782E92F" w:rsidR="006A2BC5" w:rsidRPr="006D614D" w:rsidRDefault="006A2BC5"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3D1B3C7" w14:textId="3DE6F505" w:rsidR="006A2BC5" w:rsidRPr="006D614D" w:rsidRDefault="006A2BC5" w:rsidP="0024125B">
            <w:pPr>
              <w:widowControl w:val="0"/>
              <w:shd w:val="clear" w:color="auto" w:fill="FFFFFF"/>
              <w:jc w:val="center"/>
              <w:rPr>
                <w:sz w:val="20"/>
              </w:rPr>
            </w:pPr>
            <w:r w:rsidRPr="006D614D">
              <w:rPr>
                <w:sz w:val="20"/>
              </w:rPr>
              <w:t>Netaikoma/ Neaktualu</w:t>
            </w:r>
          </w:p>
        </w:tc>
        <w:tc>
          <w:tcPr>
            <w:tcW w:w="4536" w:type="dxa"/>
            <w:tcBorders>
              <w:left w:val="single" w:sz="6" w:space="0" w:color="auto"/>
              <w:bottom w:val="single" w:sz="6" w:space="0" w:color="auto"/>
              <w:right w:val="single" w:sz="6" w:space="0" w:color="auto"/>
            </w:tcBorders>
            <w:shd w:val="clear" w:color="auto" w:fill="FFFFFF" w:themeFill="background1"/>
          </w:tcPr>
          <w:p w14:paraId="6EEA8413" w14:textId="77777777" w:rsidR="006A2BC5" w:rsidRPr="006D614D" w:rsidRDefault="006A2BC5">
            <w:pPr>
              <w:widowControl w:val="0"/>
              <w:shd w:val="clear" w:color="auto" w:fill="FFFFFF"/>
              <w:rPr>
                <w:sz w:val="20"/>
              </w:rPr>
            </w:pPr>
          </w:p>
        </w:tc>
      </w:tr>
      <w:tr w:rsidR="006A2BC5" w:rsidRPr="00875226" w14:paraId="4214D118" w14:textId="3256FDCF" w:rsidTr="038AB047">
        <w:trPr>
          <w:cantSplit/>
          <w:trHeight w:val="22"/>
        </w:trPr>
        <w:tc>
          <w:tcPr>
            <w:tcW w:w="985" w:type="dxa"/>
            <w:tcBorders>
              <w:top w:val="single" w:sz="6" w:space="0" w:color="auto"/>
              <w:left w:val="single" w:sz="6" w:space="0" w:color="auto"/>
              <w:bottom w:val="single" w:sz="6" w:space="0" w:color="auto"/>
              <w:right w:val="single" w:sz="6" w:space="0" w:color="auto"/>
            </w:tcBorders>
          </w:tcPr>
          <w:p w14:paraId="5BDBC800" w14:textId="4D1AB0AA" w:rsidR="006A2BC5" w:rsidRPr="00EF2E81" w:rsidRDefault="006A2BC5" w:rsidP="00EF2E81">
            <w:pPr>
              <w:widowControl w:val="0"/>
              <w:shd w:val="clear" w:color="auto" w:fill="FFFFFF"/>
              <w:jc w:val="both"/>
              <w:rPr>
                <w:sz w:val="20"/>
              </w:rPr>
            </w:pPr>
            <w:r w:rsidRPr="00EF2E81">
              <w:rPr>
                <w:sz w:val="20"/>
              </w:rPr>
              <w:t>1.</w:t>
            </w:r>
          </w:p>
        </w:tc>
        <w:tc>
          <w:tcPr>
            <w:tcW w:w="3543" w:type="dxa"/>
            <w:tcBorders>
              <w:top w:val="single" w:sz="6" w:space="0" w:color="auto"/>
              <w:left w:val="single" w:sz="6" w:space="0" w:color="auto"/>
              <w:bottom w:val="single" w:sz="6" w:space="0" w:color="auto"/>
              <w:right w:val="single" w:sz="6" w:space="0" w:color="auto"/>
            </w:tcBorders>
            <w:vAlign w:val="center"/>
          </w:tcPr>
          <w:p w14:paraId="19948F41" w14:textId="50996443" w:rsidR="006A2BC5" w:rsidRPr="00EF2E81" w:rsidRDefault="006A2BC5" w:rsidP="00EF2E81">
            <w:pPr>
              <w:widowControl w:val="0"/>
              <w:shd w:val="clear" w:color="auto" w:fill="FFFFFF"/>
              <w:jc w:val="both"/>
              <w:rPr>
                <w:color w:val="000000"/>
                <w:sz w:val="20"/>
              </w:rPr>
            </w:pPr>
            <w:r w:rsidRPr="00EF2E81">
              <w:rPr>
                <w:color w:val="000000"/>
                <w:sz w:val="20"/>
              </w:rPr>
              <w:t>Ar ūkio subjektas turi alkoholio produktų gamybos licenciją ir ar gaminami  alkoholiniai gėrimai nurodyti alkoholio produktų gamybos licencijoje?</w:t>
            </w:r>
          </w:p>
        </w:tc>
        <w:tc>
          <w:tcPr>
            <w:tcW w:w="1418" w:type="dxa"/>
            <w:tcBorders>
              <w:top w:val="single" w:sz="6" w:space="0" w:color="auto"/>
              <w:left w:val="single" w:sz="6" w:space="0" w:color="auto"/>
              <w:bottom w:val="single" w:sz="6" w:space="0" w:color="auto"/>
              <w:right w:val="single" w:sz="6" w:space="0" w:color="auto"/>
            </w:tcBorders>
          </w:tcPr>
          <w:p w14:paraId="72557CB0" w14:textId="11233385" w:rsidR="006A2BC5" w:rsidRPr="00875226" w:rsidRDefault="006A2BC5" w:rsidP="00352082">
            <w:pPr>
              <w:widowControl w:val="0"/>
              <w:shd w:val="clear" w:color="auto" w:fill="FFFFFF"/>
              <w:rPr>
                <w:b/>
                <w:bCs/>
                <w:sz w:val="20"/>
              </w:rPr>
            </w:pPr>
            <w:hyperlink r:id="rId11" w:history="1">
              <w:r w:rsidRPr="00DC44F6">
                <w:rPr>
                  <w:rStyle w:val="Hipersaitas"/>
                  <w:sz w:val="20"/>
                </w:rPr>
                <w:t>[</w:t>
              </w:r>
              <w:r>
                <w:rPr>
                  <w:rStyle w:val="Hipersaitas"/>
                  <w:sz w:val="20"/>
                </w:rPr>
                <w:t>5</w:t>
              </w:r>
              <w:r w:rsidRPr="00DC44F6">
                <w:rPr>
                  <w:rStyle w:val="Hipersaitas"/>
                  <w:sz w:val="20"/>
                </w:rPr>
                <w:t>]</w:t>
              </w:r>
            </w:hyperlink>
            <w:r w:rsidRPr="00EF2E81">
              <w:rPr>
                <w:color w:val="000000"/>
                <w:sz w:val="20"/>
              </w:rPr>
              <w:t xml:space="preserve"> 12 str. </w:t>
            </w:r>
            <w:r>
              <w:rPr>
                <w:color w:val="000000"/>
                <w:sz w:val="20"/>
              </w:rPr>
              <w:t>2</w:t>
            </w:r>
            <w:r w:rsidRPr="00EF2E81">
              <w:rPr>
                <w:color w:val="000000"/>
                <w:sz w:val="20"/>
              </w:rPr>
              <w:t xml:space="preserve"> d.</w:t>
            </w:r>
          </w:p>
        </w:tc>
        <w:tc>
          <w:tcPr>
            <w:tcW w:w="992" w:type="dxa"/>
            <w:tcBorders>
              <w:top w:val="single" w:sz="6" w:space="0" w:color="auto"/>
              <w:left w:val="single" w:sz="6" w:space="0" w:color="auto"/>
              <w:bottom w:val="single" w:sz="6" w:space="0" w:color="auto"/>
              <w:right w:val="single" w:sz="6" w:space="0" w:color="auto"/>
            </w:tcBorders>
          </w:tcPr>
          <w:p w14:paraId="021B68B3" w14:textId="4D6D39F6" w:rsidR="006A2BC5" w:rsidRPr="00875226" w:rsidRDefault="006A2BC5"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6A2BC5" w:rsidRPr="00875226" w:rsidRDefault="006A2BC5"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6A2BC5" w:rsidRPr="00875226" w:rsidRDefault="006A2BC5" w:rsidP="00352082">
            <w:pPr>
              <w:widowControl w:val="0"/>
              <w:shd w:val="clear" w:color="auto" w:fill="FFFFFF"/>
              <w:rPr>
                <w:b/>
                <w:bCs/>
                <w:sz w:val="20"/>
              </w:rPr>
            </w:pPr>
          </w:p>
        </w:tc>
        <w:tc>
          <w:tcPr>
            <w:tcW w:w="4536" w:type="dxa"/>
            <w:tcBorders>
              <w:top w:val="single" w:sz="6" w:space="0" w:color="auto"/>
              <w:left w:val="single" w:sz="6" w:space="0" w:color="auto"/>
              <w:bottom w:val="single" w:sz="6" w:space="0" w:color="auto"/>
              <w:right w:val="single" w:sz="6" w:space="0" w:color="auto"/>
            </w:tcBorders>
          </w:tcPr>
          <w:p w14:paraId="3CEF441D" w14:textId="4AD24779" w:rsidR="006A2BC5" w:rsidRPr="00EF2E81" w:rsidRDefault="006A2BC5" w:rsidP="00EF2E81">
            <w:pPr>
              <w:widowControl w:val="0"/>
              <w:shd w:val="clear" w:color="auto" w:fill="FFFFFF"/>
              <w:jc w:val="both"/>
              <w:rPr>
                <w:sz w:val="20"/>
              </w:rPr>
            </w:pPr>
            <w:r w:rsidRPr="00EF2E81">
              <w:rPr>
                <w:sz w:val="20"/>
              </w:rPr>
              <w:t>Gaminti alkoholio produktus leidžiama tik įmonėms, turinčioms licenciją gaminti šiuos produktus.</w:t>
            </w:r>
            <w:r>
              <w:rPr>
                <w:sz w:val="20"/>
              </w:rPr>
              <w:t xml:space="preserve"> Licencijas išduoda Narkotikų, tabako ir alkoholio kontrolės departamentas neterminuotam laikui.</w:t>
            </w:r>
          </w:p>
        </w:tc>
      </w:tr>
      <w:tr w:rsidR="006A2BC5" w:rsidRPr="00875226" w14:paraId="703E7C9A" w14:textId="77777777" w:rsidTr="038AB047">
        <w:trPr>
          <w:cantSplit/>
          <w:trHeight w:val="22"/>
        </w:trPr>
        <w:tc>
          <w:tcPr>
            <w:tcW w:w="985" w:type="dxa"/>
            <w:tcBorders>
              <w:top w:val="single" w:sz="6" w:space="0" w:color="auto"/>
              <w:left w:val="single" w:sz="6" w:space="0" w:color="auto"/>
              <w:bottom w:val="single" w:sz="6" w:space="0" w:color="auto"/>
              <w:right w:val="single" w:sz="6" w:space="0" w:color="auto"/>
            </w:tcBorders>
          </w:tcPr>
          <w:p w14:paraId="71EC677D" w14:textId="3DFF6BA4" w:rsidR="006A2BC5" w:rsidRPr="00EF2E81" w:rsidRDefault="006A2BC5" w:rsidP="00EF2E81">
            <w:pPr>
              <w:widowControl w:val="0"/>
              <w:shd w:val="clear" w:color="auto" w:fill="FFFFFF"/>
              <w:jc w:val="both"/>
              <w:rPr>
                <w:sz w:val="20"/>
              </w:rPr>
            </w:pPr>
            <w:r>
              <w:rPr>
                <w:sz w:val="20"/>
              </w:rPr>
              <w:t>2.</w:t>
            </w:r>
          </w:p>
        </w:tc>
        <w:tc>
          <w:tcPr>
            <w:tcW w:w="3543" w:type="dxa"/>
            <w:tcBorders>
              <w:top w:val="single" w:sz="6" w:space="0" w:color="auto"/>
              <w:left w:val="single" w:sz="6" w:space="0" w:color="auto"/>
              <w:bottom w:val="single" w:sz="6" w:space="0" w:color="auto"/>
              <w:right w:val="single" w:sz="6" w:space="0" w:color="auto"/>
            </w:tcBorders>
          </w:tcPr>
          <w:p w14:paraId="1B7DE6C3" w14:textId="77777777" w:rsidR="006A2BC5" w:rsidRPr="00EF2E81" w:rsidRDefault="006A2BC5" w:rsidP="00EF2E81">
            <w:pPr>
              <w:jc w:val="both"/>
              <w:rPr>
                <w:sz w:val="20"/>
              </w:rPr>
            </w:pPr>
            <w:r w:rsidRPr="00EF2E81">
              <w:rPr>
                <w:sz w:val="20"/>
              </w:rPr>
              <w:t>Ar užtikrinama alkoholinių gėrimų gamybos žaliavų ir gamybos proceso atitiktis specialiesiems reikalavimams?</w:t>
            </w:r>
          </w:p>
          <w:p w14:paraId="154B0C17" w14:textId="5BD4A0E2" w:rsidR="006A2BC5" w:rsidRPr="00EF2E81" w:rsidRDefault="006A2BC5" w:rsidP="00EF2E81">
            <w:pPr>
              <w:widowControl w:val="0"/>
              <w:shd w:val="clear" w:color="auto" w:fill="FFFFFF"/>
              <w:jc w:val="both"/>
              <w:rPr>
                <w:color w:val="000000"/>
                <w:sz w:val="20"/>
              </w:rPr>
            </w:pPr>
          </w:p>
        </w:tc>
        <w:tc>
          <w:tcPr>
            <w:tcW w:w="1418" w:type="dxa"/>
            <w:tcBorders>
              <w:top w:val="single" w:sz="6" w:space="0" w:color="auto"/>
              <w:left w:val="single" w:sz="6" w:space="0" w:color="auto"/>
              <w:bottom w:val="single" w:sz="6" w:space="0" w:color="auto"/>
              <w:right w:val="single" w:sz="6" w:space="0" w:color="auto"/>
            </w:tcBorders>
          </w:tcPr>
          <w:p w14:paraId="4C50D662" w14:textId="0D80159F" w:rsidR="006A2BC5" w:rsidRDefault="006A2BC5" w:rsidP="00EF2E81">
            <w:pPr>
              <w:widowControl w:val="0"/>
              <w:shd w:val="clear" w:color="auto" w:fill="FFFFFF"/>
              <w:rPr>
                <w:sz w:val="20"/>
              </w:rPr>
            </w:pPr>
            <w:hyperlink r:id="rId12" w:history="1">
              <w:r w:rsidRPr="00015933">
                <w:rPr>
                  <w:rStyle w:val="Hipersaitas"/>
                  <w:sz w:val="20"/>
                </w:rPr>
                <w:t>[</w:t>
              </w:r>
              <w:r>
                <w:rPr>
                  <w:rStyle w:val="Hipersaitas"/>
                  <w:sz w:val="20"/>
                </w:rPr>
                <w:t>1</w:t>
              </w:r>
              <w:r w:rsidRPr="00015933">
                <w:rPr>
                  <w:rStyle w:val="Hipersaitas"/>
                  <w:sz w:val="20"/>
                </w:rPr>
                <w:t>]</w:t>
              </w:r>
            </w:hyperlink>
            <w:r w:rsidRPr="00EF2E81">
              <w:rPr>
                <w:sz w:val="20"/>
              </w:rPr>
              <w:t xml:space="preserve"> 7 str., I </w:t>
            </w:r>
            <w:r>
              <w:rPr>
                <w:sz w:val="20"/>
              </w:rPr>
              <w:t>pr.</w:t>
            </w:r>
            <w:r w:rsidRPr="00EF2E81">
              <w:rPr>
                <w:sz w:val="20"/>
              </w:rPr>
              <w:t xml:space="preserve"> 1 – 44 kat</w:t>
            </w:r>
            <w:r>
              <w:rPr>
                <w:sz w:val="20"/>
              </w:rPr>
              <w:t>.</w:t>
            </w:r>
            <w:r w:rsidRPr="00EF2E81">
              <w:rPr>
                <w:sz w:val="20"/>
              </w:rPr>
              <w:t>;</w:t>
            </w:r>
            <w:r>
              <w:t xml:space="preserve"> </w:t>
            </w:r>
          </w:p>
          <w:p w14:paraId="7B1B948F" w14:textId="2C4D51FF" w:rsidR="006A2BC5" w:rsidRPr="00D73458" w:rsidRDefault="006A2BC5" w:rsidP="00D73458">
            <w:pPr>
              <w:widowControl w:val="0"/>
              <w:shd w:val="clear" w:color="auto" w:fill="FFFFFF"/>
              <w:rPr>
                <w:sz w:val="20"/>
              </w:rPr>
            </w:pPr>
            <w:hyperlink r:id="rId13" w:history="1">
              <w:r w:rsidRPr="00015933">
                <w:rPr>
                  <w:rStyle w:val="Hipersaitas"/>
                  <w:sz w:val="20"/>
                </w:rPr>
                <w:t>[</w:t>
              </w:r>
              <w:r>
                <w:rPr>
                  <w:rStyle w:val="Hipersaitas"/>
                  <w:sz w:val="20"/>
                </w:rPr>
                <w:t>2</w:t>
              </w:r>
              <w:r w:rsidRPr="00015933">
                <w:rPr>
                  <w:rStyle w:val="Hipersaitas"/>
                  <w:sz w:val="20"/>
                </w:rPr>
                <w:t>]</w:t>
              </w:r>
            </w:hyperlink>
            <w:r>
              <w:rPr>
                <w:sz w:val="20"/>
              </w:rPr>
              <w:t xml:space="preserve"> </w:t>
            </w:r>
            <w:r w:rsidRPr="00D73458">
              <w:rPr>
                <w:sz w:val="20"/>
              </w:rPr>
              <w:t xml:space="preserve">VII </w:t>
            </w:r>
            <w:r>
              <w:rPr>
                <w:sz w:val="20"/>
              </w:rPr>
              <w:t>pr.</w:t>
            </w:r>
            <w:r w:rsidRPr="00D73458">
              <w:rPr>
                <w:sz w:val="20"/>
              </w:rPr>
              <w:t xml:space="preserve"> II d</w:t>
            </w:r>
            <w:r>
              <w:rPr>
                <w:sz w:val="20"/>
              </w:rPr>
              <w:t>.</w:t>
            </w:r>
            <w:r w:rsidRPr="00D73458">
              <w:rPr>
                <w:sz w:val="20"/>
              </w:rPr>
              <w:t xml:space="preserve"> 1–11, 13, 15 ir 16 kat</w:t>
            </w:r>
            <w:r>
              <w:rPr>
                <w:sz w:val="20"/>
              </w:rPr>
              <w:t>.</w:t>
            </w:r>
            <w:r w:rsidRPr="00EF2E81">
              <w:rPr>
                <w:sz w:val="20"/>
              </w:rPr>
              <w:t xml:space="preserve">; </w:t>
            </w:r>
            <w:hyperlink r:id="rId14" w:history="1">
              <w:r w:rsidRPr="00015933">
                <w:rPr>
                  <w:rStyle w:val="Hipersaitas"/>
                  <w:sz w:val="20"/>
                </w:rPr>
                <w:t>[</w:t>
              </w:r>
              <w:r>
                <w:rPr>
                  <w:rStyle w:val="Hipersaitas"/>
                  <w:sz w:val="20"/>
                </w:rPr>
                <w:t>3</w:t>
              </w:r>
              <w:r w:rsidRPr="00015933">
                <w:rPr>
                  <w:rStyle w:val="Hipersaitas"/>
                  <w:sz w:val="20"/>
                </w:rPr>
                <w:t>]</w:t>
              </w:r>
            </w:hyperlink>
            <w:r w:rsidRPr="00EF2E81">
              <w:rPr>
                <w:sz w:val="20"/>
              </w:rPr>
              <w:t xml:space="preserve"> I </w:t>
            </w:r>
            <w:r>
              <w:rPr>
                <w:sz w:val="20"/>
              </w:rPr>
              <w:t>pr.</w:t>
            </w:r>
            <w:r w:rsidRPr="00EF2E81">
              <w:rPr>
                <w:sz w:val="20"/>
              </w:rPr>
              <w:t xml:space="preserve"> A d. 1, 2 len</w:t>
            </w:r>
            <w:r>
              <w:rPr>
                <w:sz w:val="20"/>
              </w:rPr>
              <w:t>t.;</w:t>
            </w:r>
            <w:r w:rsidRPr="00EF2E81">
              <w:rPr>
                <w:sz w:val="20"/>
              </w:rPr>
              <w:t xml:space="preserve"> </w:t>
            </w:r>
            <w:hyperlink r:id="rId15" w:history="1">
              <w:r w:rsidRPr="00015933">
                <w:rPr>
                  <w:rStyle w:val="Hipersaitas"/>
                  <w:sz w:val="20"/>
                </w:rPr>
                <w:t>[</w:t>
              </w:r>
              <w:r>
                <w:rPr>
                  <w:rStyle w:val="Hipersaitas"/>
                  <w:sz w:val="20"/>
                </w:rPr>
                <w:t>4</w:t>
              </w:r>
              <w:r w:rsidRPr="00015933">
                <w:rPr>
                  <w:rStyle w:val="Hipersaitas"/>
                  <w:sz w:val="20"/>
                </w:rPr>
                <w:t>]</w:t>
              </w:r>
            </w:hyperlink>
            <w:r w:rsidRPr="00EF2E81">
              <w:rPr>
                <w:sz w:val="20"/>
              </w:rPr>
              <w:t xml:space="preserve"> 3 str. 2, 3, 4 d., 4 str. 1 d.;</w:t>
            </w:r>
            <w:r>
              <w:rPr>
                <w:sz w:val="20"/>
              </w:rPr>
              <w:t xml:space="preserve"> </w:t>
            </w:r>
            <w:hyperlink r:id="rId16" w:history="1">
              <w:r w:rsidRPr="00DC44F6">
                <w:rPr>
                  <w:rStyle w:val="Hipersaitas"/>
                  <w:sz w:val="20"/>
                </w:rPr>
                <w:t>[</w:t>
              </w:r>
              <w:r>
                <w:rPr>
                  <w:rStyle w:val="Hipersaitas"/>
                  <w:sz w:val="20"/>
                </w:rPr>
                <w:t>5</w:t>
              </w:r>
              <w:r w:rsidRPr="00DC44F6">
                <w:rPr>
                  <w:rStyle w:val="Hipersaitas"/>
                  <w:sz w:val="20"/>
                </w:rPr>
                <w:t>]</w:t>
              </w:r>
            </w:hyperlink>
            <w:r w:rsidRPr="00EF2E81">
              <w:rPr>
                <w:sz w:val="20"/>
              </w:rPr>
              <w:t xml:space="preserve"> 6 str., 11 str. 1 d.</w:t>
            </w:r>
            <w:r>
              <w:rPr>
                <w:sz w:val="20"/>
              </w:rPr>
              <w:t>;</w:t>
            </w:r>
            <w:r w:rsidRPr="00EF2E81">
              <w:rPr>
                <w:sz w:val="20"/>
              </w:rPr>
              <w:t xml:space="preserve"> </w:t>
            </w:r>
            <w:hyperlink r:id="rId17" w:history="1">
              <w:r w:rsidRPr="00015933">
                <w:rPr>
                  <w:rStyle w:val="Hipersaitas"/>
                  <w:sz w:val="20"/>
                </w:rPr>
                <w:t>[</w:t>
              </w:r>
              <w:r>
                <w:rPr>
                  <w:rStyle w:val="Hipersaitas"/>
                  <w:sz w:val="20"/>
                </w:rPr>
                <w:t>6</w:t>
              </w:r>
              <w:r w:rsidRPr="00015933">
                <w:rPr>
                  <w:rStyle w:val="Hipersaitas"/>
                  <w:sz w:val="20"/>
                </w:rPr>
                <w:t>]</w:t>
              </w:r>
            </w:hyperlink>
            <w:r w:rsidRPr="00EF2E81">
              <w:rPr>
                <w:sz w:val="20"/>
              </w:rPr>
              <w:t xml:space="preserve"> II sk. 3, 6, 7 p.</w:t>
            </w:r>
            <w:r>
              <w:rPr>
                <w:sz w:val="20"/>
              </w:rPr>
              <w:t xml:space="preserve">, </w:t>
            </w:r>
            <w:r w:rsidRPr="00EF2E81">
              <w:rPr>
                <w:sz w:val="20"/>
              </w:rPr>
              <w:t>IV – VIII sk.</w:t>
            </w:r>
            <w:r>
              <w:rPr>
                <w:sz w:val="20"/>
              </w:rPr>
              <w:t>;</w:t>
            </w:r>
            <w:r w:rsidRPr="00EF2E81">
              <w:rPr>
                <w:sz w:val="20"/>
              </w:rPr>
              <w:t xml:space="preserve"> </w:t>
            </w:r>
            <w:hyperlink r:id="rId18" w:history="1">
              <w:r w:rsidRPr="00015933">
                <w:rPr>
                  <w:rStyle w:val="Hipersaitas"/>
                  <w:sz w:val="20"/>
                </w:rPr>
                <w:t>[7]</w:t>
              </w:r>
            </w:hyperlink>
            <w:r w:rsidRPr="00EF2E81">
              <w:rPr>
                <w:sz w:val="20"/>
              </w:rPr>
              <w:t xml:space="preserve"> II - V sk.;</w:t>
            </w:r>
            <w:r>
              <w:rPr>
                <w:sz w:val="20"/>
              </w:rPr>
              <w:t xml:space="preserve"> </w:t>
            </w:r>
            <w:hyperlink r:id="rId19" w:history="1">
              <w:r w:rsidRPr="007B7AAC">
                <w:rPr>
                  <w:rStyle w:val="Hipersaitas"/>
                  <w:sz w:val="20"/>
                </w:rPr>
                <w:t>[8]</w:t>
              </w:r>
            </w:hyperlink>
            <w:r w:rsidRPr="00EF2E81">
              <w:rPr>
                <w:sz w:val="20"/>
              </w:rPr>
              <w:t xml:space="preserve"> II - V sk.; </w:t>
            </w:r>
            <w:hyperlink r:id="rId20" w:history="1">
              <w:r w:rsidRPr="007B7AAC">
                <w:rPr>
                  <w:rStyle w:val="Hipersaitas"/>
                  <w:sz w:val="20"/>
                </w:rPr>
                <w:t>[9]</w:t>
              </w:r>
            </w:hyperlink>
            <w:r w:rsidRPr="00EF2E81">
              <w:rPr>
                <w:sz w:val="20"/>
              </w:rPr>
              <w:t xml:space="preserve"> II - VI sk.; </w:t>
            </w:r>
            <w:hyperlink r:id="rId21" w:history="1">
              <w:r w:rsidRPr="007B7AAC">
                <w:rPr>
                  <w:rStyle w:val="Hipersaitas"/>
                  <w:sz w:val="20"/>
                </w:rPr>
                <w:t>[10]</w:t>
              </w:r>
            </w:hyperlink>
            <w:r w:rsidRPr="00EF2E81">
              <w:rPr>
                <w:sz w:val="20"/>
              </w:rPr>
              <w:t xml:space="preserve"> II - VI sk.; </w:t>
            </w:r>
            <w:hyperlink r:id="rId22" w:history="1">
              <w:r w:rsidRPr="007B7AAC">
                <w:rPr>
                  <w:rStyle w:val="Hipersaitas"/>
                  <w:sz w:val="20"/>
                </w:rPr>
                <w:t>[11]</w:t>
              </w:r>
            </w:hyperlink>
            <w:r w:rsidRPr="00EF2E81">
              <w:rPr>
                <w:sz w:val="20"/>
              </w:rPr>
              <w:t xml:space="preserve"> II - I</w:t>
            </w:r>
            <w:r>
              <w:rPr>
                <w:sz w:val="20"/>
              </w:rPr>
              <w:t>V</w:t>
            </w:r>
            <w:r w:rsidRPr="00EF2E81">
              <w:rPr>
                <w:sz w:val="20"/>
              </w:rPr>
              <w:t xml:space="preserve"> sk.;</w:t>
            </w:r>
            <w:hyperlink r:id="rId23" w:history="1">
              <w:r w:rsidRPr="007B7AAC">
                <w:rPr>
                  <w:rStyle w:val="Hipersaitas"/>
                  <w:sz w:val="20"/>
                </w:rPr>
                <w:t xml:space="preserve"> [12]</w:t>
              </w:r>
            </w:hyperlink>
            <w:r w:rsidRPr="00EF2E81">
              <w:rPr>
                <w:sz w:val="20"/>
              </w:rPr>
              <w:t xml:space="preserve"> II - V sk.</w:t>
            </w:r>
          </w:p>
        </w:tc>
        <w:tc>
          <w:tcPr>
            <w:tcW w:w="992" w:type="dxa"/>
            <w:tcBorders>
              <w:top w:val="single" w:sz="6" w:space="0" w:color="auto"/>
              <w:left w:val="single" w:sz="6" w:space="0" w:color="auto"/>
              <w:bottom w:val="single" w:sz="6" w:space="0" w:color="auto"/>
              <w:right w:val="single" w:sz="6" w:space="0" w:color="auto"/>
            </w:tcBorders>
          </w:tcPr>
          <w:p w14:paraId="6C1F39B8" w14:textId="77777777" w:rsidR="006A2BC5" w:rsidRPr="00875226" w:rsidRDefault="006A2BC5" w:rsidP="00EF2E8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4F626C8" w14:textId="77777777" w:rsidR="006A2BC5" w:rsidRPr="00875226" w:rsidRDefault="006A2BC5" w:rsidP="00EF2E8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23A7F86" w14:textId="77777777" w:rsidR="006A2BC5" w:rsidRPr="00875226" w:rsidRDefault="006A2BC5" w:rsidP="00EF2E81">
            <w:pPr>
              <w:widowControl w:val="0"/>
              <w:shd w:val="clear" w:color="auto" w:fill="FFFFFF"/>
              <w:rPr>
                <w:b/>
                <w:bCs/>
                <w:sz w:val="20"/>
              </w:rPr>
            </w:pPr>
          </w:p>
        </w:tc>
        <w:tc>
          <w:tcPr>
            <w:tcW w:w="4536" w:type="dxa"/>
            <w:tcBorders>
              <w:top w:val="single" w:sz="6" w:space="0" w:color="auto"/>
              <w:left w:val="single" w:sz="6" w:space="0" w:color="auto"/>
              <w:bottom w:val="single" w:sz="6" w:space="0" w:color="auto"/>
              <w:right w:val="single" w:sz="6" w:space="0" w:color="auto"/>
            </w:tcBorders>
          </w:tcPr>
          <w:p w14:paraId="493B32B6" w14:textId="000CD855" w:rsidR="006A2BC5" w:rsidRPr="00EF2E81" w:rsidRDefault="006A2BC5" w:rsidP="00EF2E81">
            <w:pPr>
              <w:widowControl w:val="0"/>
              <w:shd w:val="clear" w:color="auto" w:fill="FFFFFF"/>
              <w:jc w:val="both"/>
              <w:rPr>
                <w:sz w:val="20"/>
              </w:rPr>
            </w:pPr>
          </w:p>
        </w:tc>
      </w:tr>
      <w:tr w:rsidR="006A2BC5" w:rsidRPr="00875226" w14:paraId="00BA4991" w14:textId="77777777" w:rsidTr="038AB047">
        <w:trPr>
          <w:cantSplit/>
          <w:trHeight w:val="22"/>
        </w:trPr>
        <w:tc>
          <w:tcPr>
            <w:tcW w:w="985" w:type="dxa"/>
            <w:tcBorders>
              <w:top w:val="single" w:sz="6" w:space="0" w:color="auto"/>
              <w:left w:val="single" w:sz="6" w:space="0" w:color="auto"/>
              <w:bottom w:val="single" w:sz="6" w:space="0" w:color="auto"/>
              <w:right w:val="single" w:sz="6" w:space="0" w:color="auto"/>
            </w:tcBorders>
          </w:tcPr>
          <w:p w14:paraId="704D8CA7" w14:textId="18AFEA97" w:rsidR="006A2BC5" w:rsidRPr="00EF2E81" w:rsidRDefault="006A2BC5" w:rsidP="00EF2E81">
            <w:pPr>
              <w:widowControl w:val="0"/>
              <w:shd w:val="clear" w:color="auto" w:fill="FFFFFF"/>
              <w:jc w:val="both"/>
              <w:rPr>
                <w:sz w:val="20"/>
              </w:rPr>
            </w:pPr>
            <w:r>
              <w:rPr>
                <w:sz w:val="20"/>
              </w:rPr>
              <w:t>3.</w:t>
            </w:r>
          </w:p>
        </w:tc>
        <w:tc>
          <w:tcPr>
            <w:tcW w:w="3543" w:type="dxa"/>
            <w:tcBorders>
              <w:top w:val="single" w:sz="6" w:space="0" w:color="auto"/>
              <w:left w:val="single" w:sz="6" w:space="0" w:color="auto"/>
              <w:bottom w:val="single" w:sz="6" w:space="0" w:color="auto"/>
              <w:right w:val="single" w:sz="6" w:space="0" w:color="auto"/>
            </w:tcBorders>
          </w:tcPr>
          <w:p w14:paraId="59199806" w14:textId="77777777" w:rsidR="006A2BC5" w:rsidRPr="00EF2E81" w:rsidRDefault="006A2BC5" w:rsidP="00EF2E81">
            <w:pPr>
              <w:jc w:val="both"/>
              <w:rPr>
                <w:sz w:val="20"/>
              </w:rPr>
            </w:pPr>
            <w:r w:rsidRPr="00EF2E81">
              <w:rPr>
                <w:sz w:val="20"/>
              </w:rPr>
              <w:t>Ar užtikrinama pagamintų alkoholinių gėrimų ženklinimo atitiktis specialiesiems teisės aktų reikalavimams?</w:t>
            </w:r>
          </w:p>
          <w:p w14:paraId="6A19DAE3" w14:textId="3FC31465" w:rsidR="006A2BC5" w:rsidRPr="00EF2E81" w:rsidRDefault="006A2BC5" w:rsidP="00EF2E81">
            <w:pPr>
              <w:widowControl w:val="0"/>
              <w:shd w:val="clear" w:color="auto" w:fill="FFFFFF"/>
              <w:jc w:val="both"/>
              <w:rPr>
                <w:color w:val="000000"/>
                <w:sz w:val="20"/>
              </w:rPr>
            </w:pPr>
          </w:p>
        </w:tc>
        <w:tc>
          <w:tcPr>
            <w:tcW w:w="1418" w:type="dxa"/>
            <w:tcBorders>
              <w:top w:val="single" w:sz="6" w:space="0" w:color="auto"/>
              <w:left w:val="single" w:sz="6" w:space="0" w:color="auto"/>
              <w:bottom w:val="single" w:sz="6" w:space="0" w:color="auto"/>
              <w:right w:val="single" w:sz="6" w:space="0" w:color="auto"/>
            </w:tcBorders>
          </w:tcPr>
          <w:p w14:paraId="7CEF3491" w14:textId="57FF38B3" w:rsidR="006A2BC5" w:rsidRPr="00EF2E81" w:rsidRDefault="006A2BC5" w:rsidP="00EF2E81">
            <w:pPr>
              <w:widowControl w:val="0"/>
              <w:shd w:val="clear" w:color="auto" w:fill="FFFFFF"/>
              <w:rPr>
                <w:color w:val="000000"/>
                <w:sz w:val="20"/>
              </w:rPr>
            </w:pPr>
            <w:hyperlink r:id="rId24" w:history="1">
              <w:r w:rsidRPr="00015933">
                <w:rPr>
                  <w:rStyle w:val="Hipersaitas"/>
                  <w:sz w:val="20"/>
                </w:rPr>
                <w:t>[</w:t>
              </w:r>
              <w:r>
                <w:rPr>
                  <w:rStyle w:val="Hipersaitas"/>
                  <w:sz w:val="20"/>
                </w:rPr>
                <w:t>1</w:t>
              </w:r>
              <w:r w:rsidRPr="00015933">
                <w:rPr>
                  <w:rStyle w:val="Hipersaitas"/>
                  <w:sz w:val="20"/>
                </w:rPr>
                <w:t>]</w:t>
              </w:r>
            </w:hyperlink>
            <w:r w:rsidRPr="00EF2E81">
              <w:rPr>
                <w:sz w:val="20"/>
              </w:rPr>
              <w:t xml:space="preserve"> 10 – 15 str.; </w:t>
            </w:r>
            <w:hyperlink r:id="rId25" w:history="1">
              <w:r w:rsidRPr="00015933">
                <w:rPr>
                  <w:rStyle w:val="Hipersaitas"/>
                  <w:sz w:val="20"/>
                </w:rPr>
                <w:t>[</w:t>
              </w:r>
              <w:r>
                <w:rPr>
                  <w:rStyle w:val="Hipersaitas"/>
                  <w:sz w:val="20"/>
                </w:rPr>
                <w:t>2</w:t>
              </w:r>
              <w:r w:rsidRPr="00015933">
                <w:rPr>
                  <w:rStyle w:val="Hipersaitas"/>
                  <w:sz w:val="20"/>
                </w:rPr>
                <w:t>]</w:t>
              </w:r>
            </w:hyperlink>
            <w:r w:rsidRPr="00EF2E81">
              <w:rPr>
                <w:sz w:val="20"/>
              </w:rPr>
              <w:t xml:space="preserve"> 119 str.; </w:t>
            </w:r>
            <w:hyperlink r:id="rId26" w:history="1">
              <w:r w:rsidRPr="00015933">
                <w:rPr>
                  <w:rStyle w:val="Hipersaitas"/>
                  <w:sz w:val="20"/>
                </w:rPr>
                <w:t>[</w:t>
              </w:r>
              <w:r>
                <w:rPr>
                  <w:rStyle w:val="Hipersaitas"/>
                  <w:sz w:val="20"/>
                </w:rPr>
                <w:t>4</w:t>
              </w:r>
              <w:r w:rsidRPr="00015933">
                <w:rPr>
                  <w:rStyle w:val="Hipersaitas"/>
                  <w:sz w:val="20"/>
                </w:rPr>
                <w:t>]</w:t>
              </w:r>
            </w:hyperlink>
            <w:r w:rsidRPr="00EF2E81">
              <w:rPr>
                <w:sz w:val="20"/>
              </w:rPr>
              <w:t xml:space="preserve"> 5, 6 str.; </w:t>
            </w:r>
            <w:hyperlink r:id="rId27" w:history="1">
              <w:r w:rsidR="00CB7BC3" w:rsidRPr="00DC44F6">
                <w:rPr>
                  <w:rStyle w:val="Hipersaitas"/>
                  <w:sz w:val="20"/>
                </w:rPr>
                <w:t>[</w:t>
              </w:r>
              <w:r w:rsidR="00CB7BC3">
                <w:rPr>
                  <w:rStyle w:val="Hipersaitas"/>
                  <w:sz w:val="20"/>
                </w:rPr>
                <w:t>5</w:t>
              </w:r>
              <w:r w:rsidR="00CB7BC3" w:rsidRPr="00DC44F6">
                <w:rPr>
                  <w:rStyle w:val="Hipersaitas"/>
                  <w:sz w:val="20"/>
                </w:rPr>
                <w:t>]</w:t>
              </w:r>
            </w:hyperlink>
            <w:r w:rsidR="00CB7BC3" w:rsidRPr="00EF2E81">
              <w:rPr>
                <w:sz w:val="20"/>
              </w:rPr>
              <w:t xml:space="preserve"> 9 str. 2 d.</w:t>
            </w:r>
            <w:r w:rsidR="00CB7BC3">
              <w:rPr>
                <w:sz w:val="20"/>
              </w:rPr>
              <w:t xml:space="preserve">; </w:t>
            </w:r>
            <w:hyperlink r:id="rId28" w:history="1">
              <w:r w:rsidRPr="00015933">
                <w:rPr>
                  <w:rStyle w:val="Hipersaitas"/>
                  <w:sz w:val="20"/>
                </w:rPr>
                <w:t>[</w:t>
              </w:r>
              <w:r>
                <w:rPr>
                  <w:rStyle w:val="Hipersaitas"/>
                  <w:sz w:val="20"/>
                </w:rPr>
                <w:t>6</w:t>
              </w:r>
              <w:r w:rsidRPr="00015933">
                <w:rPr>
                  <w:rStyle w:val="Hipersaitas"/>
                  <w:sz w:val="20"/>
                </w:rPr>
                <w:t>]</w:t>
              </w:r>
            </w:hyperlink>
            <w:r w:rsidRPr="00EF2E81">
              <w:rPr>
                <w:sz w:val="20"/>
              </w:rPr>
              <w:t xml:space="preserve"> X sk.;</w:t>
            </w:r>
            <w:hyperlink r:id="rId29" w:history="1">
              <w:r w:rsidRPr="00015933">
                <w:rPr>
                  <w:rStyle w:val="Hipersaitas"/>
                  <w:sz w:val="20"/>
                </w:rPr>
                <w:t>[7]</w:t>
              </w:r>
            </w:hyperlink>
            <w:r w:rsidRPr="00EF2E81">
              <w:rPr>
                <w:sz w:val="20"/>
              </w:rPr>
              <w:t xml:space="preserve"> VI sk.; </w:t>
            </w:r>
            <w:hyperlink r:id="rId30" w:history="1">
              <w:r w:rsidRPr="007B7AAC">
                <w:rPr>
                  <w:rStyle w:val="Hipersaitas"/>
                  <w:sz w:val="20"/>
                </w:rPr>
                <w:t>[8]</w:t>
              </w:r>
            </w:hyperlink>
            <w:r w:rsidRPr="00EF2E81">
              <w:rPr>
                <w:sz w:val="20"/>
              </w:rPr>
              <w:t xml:space="preserve"> VI sk.; </w:t>
            </w:r>
            <w:hyperlink r:id="rId31" w:history="1">
              <w:r w:rsidRPr="007B7AAC">
                <w:rPr>
                  <w:rStyle w:val="Hipersaitas"/>
                  <w:sz w:val="20"/>
                </w:rPr>
                <w:t>[9]</w:t>
              </w:r>
            </w:hyperlink>
            <w:r w:rsidRPr="00EF2E81">
              <w:rPr>
                <w:sz w:val="20"/>
              </w:rPr>
              <w:t xml:space="preserve"> VII sk.; </w:t>
            </w:r>
            <w:hyperlink r:id="rId32" w:history="1">
              <w:r w:rsidRPr="007B7AAC">
                <w:rPr>
                  <w:rStyle w:val="Hipersaitas"/>
                  <w:sz w:val="20"/>
                </w:rPr>
                <w:t>[10]</w:t>
              </w:r>
            </w:hyperlink>
            <w:r w:rsidRPr="00EF2E81">
              <w:rPr>
                <w:sz w:val="20"/>
              </w:rPr>
              <w:t xml:space="preserve"> VII sk.; </w:t>
            </w:r>
            <w:hyperlink r:id="rId33" w:history="1">
              <w:r w:rsidRPr="007B7AAC">
                <w:rPr>
                  <w:rStyle w:val="Hipersaitas"/>
                  <w:sz w:val="20"/>
                </w:rPr>
                <w:t>[11]</w:t>
              </w:r>
            </w:hyperlink>
            <w:r w:rsidRPr="00EF2E81">
              <w:rPr>
                <w:sz w:val="20"/>
              </w:rPr>
              <w:t xml:space="preserve"> V sk.; </w:t>
            </w:r>
            <w:hyperlink r:id="rId34" w:history="1">
              <w:r w:rsidRPr="007B7AAC">
                <w:rPr>
                  <w:rStyle w:val="Hipersaitas"/>
                  <w:sz w:val="20"/>
                </w:rPr>
                <w:t>[12]</w:t>
              </w:r>
            </w:hyperlink>
            <w:r w:rsidRPr="00EF2E81">
              <w:rPr>
                <w:sz w:val="20"/>
              </w:rPr>
              <w:t xml:space="preserve"> VI sk</w:t>
            </w:r>
            <w:r>
              <w:rPr>
                <w:sz w:val="20"/>
              </w:rPr>
              <w:t>.</w:t>
            </w:r>
          </w:p>
        </w:tc>
        <w:tc>
          <w:tcPr>
            <w:tcW w:w="992" w:type="dxa"/>
            <w:tcBorders>
              <w:top w:val="single" w:sz="6" w:space="0" w:color="auto"/>
              <w:left w:val="single" w:sz="6" w:space="0" w:color="auto"/>
              <w:bottom w:val="single" w:sz="6" w:space="0" w:color="auto"/>
              <w:right w:val="single" w:sz="6" w:space="0" w:color="auto"/>
            </w:tcBorders>
          </w:tcPr>
          <w:p w14:paraId="7FC09369" w14:textId="77777777" w:rsidR="006A2BC5" w:rsidRPr="00875226" w:rsidRDefault="006A2BC5" w:rsidP="00EF2E8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9E42359" w14:textId="77777777" w:rsidR="006A2BC5" w:rsidRPr="00875226" w:rsidRDefault="006A2BC5" w:rsidP="00EF2E8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02CDF14" w14:textId="77777777" w:rsidR="006A2BC5" w:rsidRPr="00875226" w:rsidRDefault="006A2BC5" w:rsidP="00EF2E81">
            <w:pPr>
              <w:widowControl w:val="0"/>
              <w:shd w:val="clear" w:color="auto" w:fill="FFFFFF"/>
              <w:rPr>
                <w:b/>
                <w:bCs/>
                <w:sz w:val="20"/>
              </w:rPr>
            </w:pPr>
          </w:p>
        </w:tc>
        <w:tc>
          <w:tcPr>
            <w:tcW w:w="4536" w:type="dxa"/>
            <w:tcBorders>
              <w:top w:val="single" w:sz="6" w:space="0" w:color="auto"/>
              <w:left w:val="single" w:sz="6" w:space="0" w:color="auto"/>
              <w:bottom w:val="single" w:sz="6" w:space="0" w:color="auto"/>
              <w:right w:val="single" w:sz="6" w:space="0" w:color="auto"/>
            </w:tcBorders>
          </w:tcPr>
          <w:p w14:paraId="3476E2A0" w14:textId="7033ACCD" w:rsidR="006A2BC5" w:rsidRPr="00EF2E81" w:rsidRDefault="00CB7BC3" w:rsidP="00EF2E81">
            <w:pPr>
              <w:widowControl w:val="0"/>
              <w:shd w:val="clear" w:color="auto" w:fill="FFFFFF"/>
              <w:jc w:val="both"/>
              <w:rPr>
                <w:sz w:val="20"/>
              </w:rPr>
            </w:pPr>
            <w:r>
              <w:rPr>
                <w:sz w:val="20"/>
              </w:rPr>
              <w:t xml:space="preserve">Ženklinant alkoholinius gėrimus, kurių alkoholio koncentracija didesnė kaip 1,2 proc., privaloma pateikti įspėjamąjį ženklą apie alkoholio daromą žalą nėščiosioms moterims. </w:t>
            </w:r>
            <w:r w:rsidRPr="00BB1100">
              <w:rPr>
                <w:sz w:val="20"/>
              </w:rPr>
              <w:t>Įspėjamasis ženklas turi būti apskritimo formos, kuriame pavaizduota perbraukta taurę pakėlusi nėščia moteris</w:t>
            </w:r>
            <w:r>
              <w:rPr>
                <w:sz w:val="20"/>
              </w:rPr>
              <w:t xml:space="preserve">, jis </w:t>
            </w:r>
            <w:r w:rsidRPr="00BB1100">
              <w:rPr>
                <w:sz w:val="20"/>
              </w:rPr>
              <w:t xml:space="preserve">turi būti pateiktas ant alkoholinio gėrimo taros greta kitos privalomos pateikti informacijos, </w:t>
            </w:r>
            <w:r>
              <w:rPr>
                <w:sz w:val="20"/>
              </w:rPr>
              <w:t>būtinai</w:t>
            </w:r>
            <w:r w:rsidRPr="00BB1100">
              <w:rPr>
                <w:sz w:val="20"/>
              </w:rPr>
              <w:t xml:space="preserve"> kontrastinės spalvos fone taip, kad būtų aiškiai matomas, neuždengtas teksto ar kitų grafinių ženklų.</w:t>
            </w:r>
          </w:p>
        </w:tc>
      </w:tr>
      <w:tr w:rsidR="006A2BC5" w:rsidRPr="00875226" w14:paraId="6671AB32" w14:textId="77777777" w:rsidTr="038AB047">
        <w:trPr>
          <w:cantSplit/>
          <w:trHeight w:val="22"/>
        </w:trPr>
        <w:tc>
          <w:tcPr>
            <w:tcW w:w="985" w:type="dxa"/>
            <w:tcBorders>
              <w:top w:val="single" w:sz="6" w:space="0" w:color="auto"/>
              <w:left w:val="single" w:sz="6" w:space="0" w:color="auto"/>
              <w:bottom w:val="single" w:sz="6" w:space="0" w:color="auto"/>
              <w:right w:val="single" w:sz="6" w:space="0" w:color="auto"/>
            </w:tcBorders>
          </w:tcPr>
          <w:p w14:paraId="79ABAA66" w14:textId="10F3C244" w:rsidR="006A2BC5" w:rsidRPr="00EF2E81" w:rsidRDefault="006A2BC5" w:rsidP="00EF2E81">
            <w:pPr>
              <w:widowControl w:val="0"/>
              <w:shd w:val="clear" w:color="auto" w:fill="FFFFFF"/>
              <w:jc w:val="both"/>
              <w:rPr>
                <w:sz w:val="20"/>
              </w:rPr>
            </w:pPr>
            <w:r>
              <w:rPr>
                <w:sz w:val="20"/>
              </w:rPr>
              <w:lastRenderedPageBreak/>
              <w:t>4.</w:t>
            </w:r>
          </w:p>
        </w:tc>
        <w:tc>
          <w:tcPr>
            <w:tcW w:w="3543" w:type="dxa"/>
            <w:tcBorders>
              <w:top w:val="single" w:sz="6" w:space="0" w:color="auto"/>
              <w:left w:val="single" w:sz="6" w:space="0" w:color="auto"/>
              <w:bottom w:val="single" w:sz="6" w:space="0" w:color="auto"/>
              <w:right w:val="single" w:sz="6" w:space="0" w:color="auto"/>
            </w:tcBorders>
          </w:tcPr>
          <w:p w14:paraId="3B35F0FD" w14:textId="59A1697A" w:rsidR="006A2BC5" w:rsidRPr="00EF2E81" w:rsidRDefault="006A2BC5" w:rsidP="00EF2E81">
            <w:pPr>
              <w:jc w:val="both"/>
              <w:rPr>
                <w:sz w:val="20"/>
              </w:rPr>
            </w:pPr>
            <w:r w:rsidRPr="00EF2E81">
              <w:rPr>
                <w:sz w:val="20"/>
              </w:rPr>
              <w:t>Ar kiekviena pagaminta produktų partija turi išduotą laboratorijos</w:t>
            </w:r>
            <w:r>
              <w:rPr>
                <w:sz w:val="20"/>
              </w:rPr>
              <w:t xml:space="preserve"> </w:t>
            </w:r>
            <w:r w:rsidRPr="00EF2E81">
              <w:rPr>
                <w:sz w:val="20"/>
              </w:rPr>
              <w:t>/</w:t>
            </w:r>
            <w:r>
              <w:rPr>
                <w:sz w:val="20"/>
              </w:rPr>
              <w:t xml:space="preserve"> </w:t>
            </w:r>
            <w:r w:rsidRPr="00EF2E81">
              <w:rPr>
                <w:sz w:val="20"/>
              </w:rPr>
              <w:t>gamintojo atitiktį patvirtinantį dokumentą?</w:t>
            </w:r>
          </w:p>
          <w:p w14:paraId="49B4F7B3" w14:textId="7E950886" w:rsidR="006A2BC5" w:rsidRPr="00EF2E81" w:rsidRDefault="006A2BC5" w:rsidP="00EF2E81">
            <w:pPr>
              <w:widowControl w:val="0"/>
              <w:shd w:val="clear" w:color="auto" w:fill="FFFFFF"/>
              <w:jc w:val="both"/>
              <w:rPr>
                <w:color w:val="000000"/>
                <w:sz w:val="20"/>
              </w:rPr>
            </w:pPr>
          </w:p>
        </w:tc>
        <w:tc>
          <w:tcPr>
            <w:tcW w:w="1418" w:type="dxa"/>
            <w:tcBorders>
              <w:top w:val="single" w:sz="6" w:space="0" w:color="auto"/>
              <w:left w:val="single" w:sz="6" w:space="0" w:color="auto"/>
              <w:bottom w:val="single" w:sz="6" w:space="0" w:color="auto"/>
              <w:right w:val="single" w:sz="6" w:space="0" w:color="auto"/>
            </w:tcBorders>
          </w:tcPr>
          <w:p w14:paraId="3E8F768D" w14:textId="40DF8982" w:rsidR="006A2BC5" w:rsidRPr="00EF2E81" w:rsidRDefault="006A2BC5" w:rsidP="00EF2E81">
            <w:pPr>
              <w:widowControl w:val="0"/>
              <w:shd w:val="clear" w:color="auto" w:fill="FFFFFF"/>
              <w:rPr>
                <w:color w:val="000000"/>
                <w:sz w:val="20"/>
              </w:rPr>
            </w:pPr>
            <w:hyperlink r:id="rId35" w:history="1">
              <w:r w:rsidRPr="00DC44F6">
                <w:rPr>
                  <w:rStyle w:val="Hipersaitas"/>
                  <w:sz w:val="20"/>
                </w:rPr>
                <w:t>[</w:t>
              </w:r>
              <w:r>
                <w:rPr>
                  <w:rStyle w:val="Hipersaitas"/>
                  <w:sz w:val="20"/>
                </w:rPr>
                <w:t>5</w:t>
              </w:r>
              <w:r w:rsidRPr="00DC44F6">
                <w:rPr>
                  <w:rStyle w:val="Hipersaitas"/>
                  <w:sz w:val="20"/>
                </w:rPr>
                <w:t>]</w:t>
              </w:r>
            </w:hyperlink>
            <w:r w:rsidRPr="00EF2E81">
              <w:rPr>
                <w:sz w:val="20"/>
              </w:rPr>
              <w:t xml:space="preserve"> 11 str. 2 d.</w:t>
            </w:r>
          </w:p>
        </w:tc>
        <w:tc>
          <w:tcPr>
            <w:tcW w:w="992" w:type="dxa"/>
            <w:tcBorders>
              <w:top w:val="single" w:sz="6" w:space="0" w:color="auto"/>
              <w:left w:val="single" w:sz="6" w:space="0" w:color="auto"/>
              <w:bottom w:val="single" w:sz="6" w:space="0" w:color="auto"/>
              <w:right w:val="single" w:sz="6" w:space="0" w:color="auto"/>
            </w:tcBorders>
          </w:tcPr>
          <w:p w14:paraId="20C3E7FA" w14:textId="77777777" w:rsidR="006A2BC5" w:rsidRPr="00875226" w:rsidRDefault="006A2BC5" w:rsidP="00EF2E8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6A712C0" w14:textId="77777777" w:rsidR="006A2BC5" w:rsidRPr="00875226" w:rsidRDefault="006A2BC5" w:rsidP="00EF2E8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2871AAE" w14:textId="77777777" w:rsidR="006A2BC5" w:rsidRPr="00875226" w:rsidRDefault="006A2BC5" w:rsidP="00EF2E81">
            <w:pPr>
              <w:widowControl w:val="0"/>
              <w:shd w:val="clear" w:color="auto" w:fill="FFFFFF"/>
              <w:rPr>
                <w:b/>
                <w:bCs/>
                <w:sz w:val="20"/>
              </w:rPr>
            </w:pPr>
          </w:p>
        </w:tc>
        <w:tc>
          <w:tcPr>
            <w:tcW w:w="4536" w:type="dxa"/>
            <w:tcBorders>
              <w:top w:val="single" w:sz="6" w:space="0" w:color="auto"/>
              <w:left w:val="single" w:sz="6" w:space="0" w:color="auto"/>
              <w:bottom w:val="single" w:sz="6" w:space="0" w:color="auto"/>
              <w:right w:val="single" w:sz="6" w:space="0" w:color="auto"/>
            </w:tcBorders>
          </w:tcPr>
          <w:p w14:paraId="34175144" w14:textId="69320976" w:rsidR="006A2BC5" w:rsidRPr="00EF2E81" w:rsidRDefault="006A2BC5" w:rsidP="00EF2E81">
            <w:pPr>
              <w:widowControl w:val="0"/>
              <w:shd w:val="clear" w:color="auto" w:fill="FFFFFF"/>
              <w:jc w:val="both"/>
              <w:rPr>
                <w:sz w:val="20"/>
              </w:rPr>
            </w:pPr>
          </w:p>
        </w:tc>
      </w:tr>
      <w:tr w:rsidR="006A2BC5" w:rsidRPr="00875226" w14:paraId="5C201126" w14:textId="77777777" w:rsidTr="038AB047">
        <w:trPr>
          <w:cantSplit/>
          <w:trHeight w:val="22"/>
        </w:trPr>
        <w:tc>
          <w:tcPr>
            <w:tcW w:w="985" w:type="dxa"/>
            <w:tcBorders>
              <w:top w:val="single" w:sz="6" w:space="0" w:color="auto"/>
              <w:left w:val="single" w:sz="6" w:space="0" w:color="auto"/>
              <w:bottom w:val="single" w:sz="6" w:space="0" w:color="auto"/>
              <w:right w:val="single" w:sz="6" w:space="0" w:color="auto"/>
            </w:tcBorders>
          </w:tcPr>
          <w:p w14:paraId="33856DA2" w14:textId="5B0DC590" w:rsidR="006A2BC5" w:rsidRPr="00EF2E81" w:rsidRDefault="006A2BC5" w:rsidP="00EF2E81">
            <w:pPr>
              <w:widowControl w:val="0"/>
              <w:shd w:val="clear" w:color="auto" w:fill="FFFFFF"/>
              <w:jc w:val="both"/>
              <w:rPr>
                <w:sz w:val="20"/>
              </w:rPr>
            </w:pPr>
            <w:r>
              <w:rPr>
                <w:sz w:val="20"/>
              </w:rPr>
              <w:t>5.</w:t>
            </w:r>
          </w:p>
        </w:tc>
        <w:tc>
          <w:tcPr>
            <w:tcW w:w="3543" w:type="dxa"/>
            <w:tcBorders>
              <w:top w:val="single" w:sz="6" w:space="0" w:color="auto"/>
              <w:left w:val="single" w:sz="6" w:space="0" w:color="auto"/>
              <w:bottom w:val="single" w:sz="6" w:space="0" w:color="auto"/>
              <w:right w:val="single" w:sz="6" w:space="0" w:color="auto"/>
            </w:tcBorders>
          </w:tcPr>
          <w:p w14:paraId="20CBABD5" w14:textId="67F4B2CB" w:rsidR="006A2BC5" w:rsidRPr="00EF2E81" w:rsidRDefault="7C66DC0E" w:rsidP="038AB047">
            <w:pPr>
              <w:jc w:val="both"/>
              <w:rPr>
                <w:color w:val="000000"/>
                <w:sz w:val="20"/>
              </w:rPr>
            </w:pPr>
            <w:r w:rsidRPr="038AB047">
              <w:rPr>
                <w:sz w:val="20"/>
              </w:rPr>
              <w:t xml:space="preserve">Ar ūkio subjektas </w:t>
            </w:r>
            <w:r w:rsidR="2DA8E20E" w:rsidRPr="038AB047">
              <w:rPr>
                <w:sz w:val="20"/>
              </w:rPr>
              <w:t xml:space="preserve">atlieka gaminamų produktų </w:t>
            </w:r>
            <w:r w:rsidR="00CB7BC3">
              <w:rPr>
                <w:sz w:val="20"/>
              </w:rPr>
              <w:t xml:space="preserve">numatytus/nurodytus specifikacijose savikontrolės </w:t>
            </w:r>
            <w:r w:rsidR="2DA8E20E" w:rsidRPr="038AB047">
              <w:rPr>
                <w:sz w:val="20"/>
              </w:rPr>
              <w:t xml:space="preserve">tyrimus </w:t>
            </w:r>
            <w:r w:rsidRPr="038AB047">
              <w:rPr>
                <w:sz w:val="20"/>
              </w:rPr>
              <w:t>atestuot</w:t>
            </w:r>
            <w:r w:rsidR="2DA8E20E" w:rsidRPr="038AB047">
              <w:rPr>
                <w:sz w:val="20"/>
              </w:rPr>
              <w:t>oje</w:t>
            </w:r>
            <w:r w:rsidRPr="038AB047">
              <w:rPr>
                <w:sz w:val="20"/>
              </w:rPr>
              <w:t xml:space="preserve"> alkoholio produktų kokybės tyrimo laboratorij</w:t>
            </w:r>
            <w:r w:rsidR="2DA8E20E" w:rsidRPr="038AB047">
              <w:rPr>
                <w:sz w:val="20"/>
              </w:rPr>
              <w:t>oje (</w:t>
            </w:r>
            <w:r w:rsidRPr="038AB047">
              <w:rPr>
                <w:sz w:val="20"/>
              </w:rPr>
              <w:t>gali pateikti laboratorijos atestavimo pažymėjimą</w:t>
            </w:r>
            <w:r w:rsidR="2DA8E20E" w:rsidRPr="038AB047">
              <w:rPr>
                <w:sz w:val="20"/>
              </w:rPr>
              <w:t>), ar akredituotoje laboratorijoje (gali pateikti tai įrodantį dokumentą)?</w:t>
            </w:r>
          </w:p>
        </w:tc>
        <w:tc>
          <w:tcPr>
            <w:tcW w:w="1418" w:type="dxa"/>
            <w:tcBorders>
              <w:top w:val="single" w:sz="6" w:space="0" w:color="auto"/>
              <w:left w:val="single" w:sz="6" w:space="0" w:color="auto"/>
              <w:bottom w:val="single" w:sz="6" w:space="0" w:color="auto"/>
              <w:right w:val="single" w:sz="6" w:space="0" w:color="auto"/>
            </w:tcBorders>
          </w:tcPr>
          <w:p w14:paraId="408BC4E6" w14:textId="729D9E21" w:rsidR="006A2BC5" w:rsidRPr="00EF2E81" w:rsidRDefault="006A2BC5" w:rsidP="00EF2E81">
            <w:pPr>
              <w:widowControl w:val="0"/>
              <w:shd w:val="clear" w:color="auto" w:fill="FFFFFF"/>
              <w:rPr>
                <w:color w:val="000000"/>
                <w:sz w:val="20"/>
              </w:rPr>
            </w:pPr>
            <w:hyperlink r:id="rId36" w:history="1">
              <w:r w:rsidRPr="00DC44F6">
                <w:rPr>
                  <w:rStyle w:val="Hipersaitas"/>
                  <w:sz w:val="20"/>
                </w:rPr>
                <w:t>[</w:t>
              </w:r>
              <w:r>
                <w:rPr>
                  <w:rStyle w:val="Hipersaitas"/>
                  <w:sz w:val="20"/>
                </w:rPr>
                <w:t>5</w:t>
              </w:r>
              <w:r w:rsidRPr="00DC44F6">
                <w:rPr>
                  <w:rStyle w:val="Hipersaitas"/>
                  <w:sz w:val="20"/>
                </w:rPr>
                <w:t>]</w:t>
              </w:r>
            </w:hyperlink>
            <w:r w:rsidRPr="00EF2E81">
              <w:rPr>
                <w:sz w:val="20"/>
              </w:rPr>
              <w:t xml:space="preserve"> 18</w:t>
            </w:r>
            <w:r w:rsidRPr="00EF2E81">
              <w:rPr>
                <w:sz w:val="20"/>
                <w:vertAlign w:val="superscript"/>
              </w:rPr>
              <w:t xml:space="preserve">1 </w:t>
            </w:r>
            <w:r w:rsidRPr="00EF2E81">
              <w:rPr>
                <w:sz w:val="20"/>
              </w:rPr>
              <w:t xml:space="preserve">str. 2 d. </w:t>
            </w:r>
            <w:r>
              <w:rPr>
                <w:sz w:val="20"/>
              </w:rPr>
              <w:t>4</w:t>
            </w:r>
            <w:r w:rsidRPr="00EF2E81">
              <w:rPr>
                <w:sz w:val="20"/>
              </w:rPr>
              <w:t xml:space="preserve"> p.; </w:t>
            </w:r>
            <w:hyperlink r:id="rId37" w:history="1">
              <w:r w:rsidRPr="007B7AAC">
                <w:rPr>
                  <w:rStyle w:val="Hipersaitas"/>
                  <w:sz w:val="20"/>
                </w:rPr>
                <w:t>[13]</w:t>
              </w:r>
            </w:hyperlink>
            <w:r w:rsidRPr="00EF2E81">
              <w:rPr>
                <w:sz w:val="20"/>
              </w:rPr>
              <w:t xml:space="preserve"> 8.1. p.</w:t>
            </w:r>
          </w:p>
        </w:tc>
        <w:tc>
          <w:tcPr>
            <w:tcW w:w="992" w:type="dxa"/>
            <w:tcBorders>
              <w:top w:val="single" w:sz="6" w:space="0" w:color="auto"/>
              <w:left w:val="single" w:sz="6" w:space="0" w:color="auto"/>
              <w:bottom w:val="single" w:sz="6" w:space="0" w:color="auto"/>
              <w:right w:val="single" w:sz="6" w:space="0" w:color="auto"/>
            </w:tcBorders>
          </w:tcPr>
          <w:p w14:paraId="4D0D8013" w14:textId="77777777" w:rsidR="006A2BC5" w:rsidRPr="00875226" w:rsidRDefault="006A2BC5" w:rsidP="00EF2E8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9F72E8C" w14:textId="77777777" w:rsidR="006A2BC5" w:rsidRPr="00875226" w:rsidRDefault="006A2BC5" w:rsidP="00EF2E8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AC17BF0" w14:textId="77777777" w:rsidR="006A2BC5" w:rsidRPr="00875226" w:rsidRDefault="006A2BC5" w:rsidP="00EF2E81">
            <w:pPr>
              <w:widowControl w:val="0"/>
              <w:shd w:val="clear" w:color="auto" w:fill="FFFFFF"/>
              <w:rPr>
                <w:b/>
                <w:bCs/>
                <w:sz w:val="20"/>
              </w:rPr>
            </w:pPr>
          </w:p>
        </w:tc>
        <w:tc>
          <w:tcPr>
            <w:tcW w:w="4536" w:type="dxa"/>
            <w:tcBorders>
              <w:top w:val="single" w:sz="6" w:space="0" w:color="auto"/>
              <w:left w:val="single" w:sz="6" w:space="0" w:color="auto"/>
              <w:bottom w:val="single" w:sz="6" w:space="0" w:color="auto"/>
              <w:right w:val="single" w:sz="6" w:space="0" w:color="auto"/>
            </w:tcBorders>
          </w:tcPr>
          <w:p w14:paraId="4E88A223" w14:textId="77777777" w:rsidR="006A2BC5" w:rsidRDefault="006A2BC5" w:rsidP="00EF2E81">
            <w:pPr>
              <w:widowControl w:val="0"/>
              <w:shd w:val="clear" w:color="auto" w:fill="FFFFFF"/>
              <w:jc w:val="both"/>
              <w:rPr>
                <w:sz w:val="20"/>
              </w:rPr>
            </w:pPr>
            <w:r>
              <w:rPr>
                <w:sz w:val="20"/>
              </w:rPr>
              <w:t>Įmonė neprivalo būtinai turėti savo atestuotą laboratoriją. Jei laboratorijos neturi, tuomet tyrimus turi atlikti kitoje atestuotoje ar akredituotoje laboratorijoje ir esant poreikiui, pateikti visus tai įrodančius dokumentus.</w:t>
            </w:r>
            <w:r w:rsidR="001564F9">
              <w:rPr>
                <w:sz w:val="20"/>
              </w:rPr>
              <w:t xml:space="preserve"> </w:t>
            </w:r>
          </w:p>
          <w:p w14:paraId="2BBC802E" w14:textId="63B0CD8C" w:rsidR="001564F9" w:rsidRPr="00EF2E81" w:rsidRDefault="001564F9" w:rsidP="00EF2E81">
            <w:pPr>
              <w:widowControl w:val="0"/>
              <w:shd w:val="clear" w:color="auto" w:fill="FFFFFF"/>
              <w:jc w:val="both"/>
              <w:rPr>
                <w:sz w:val="20"/>
              </w:rPr>
            </w:pPr>
            <w:r>
              <w:rPr>
                <w:sz w:val="20"/>
              </w:rPr>
              <w:t>Jei įmonė turi savo atestuotą laboratoriją, nurodyti atestavimo pažymėjimo numerį, datą.</w:t>
            </w:r>
          </w:p>
        </w:tc>
      </w:tr>
    </w:tbl>
    <w:p w14:paraId="161D628C" w14:textId="5EBA4869" w:rsidR="00CE1200" w:rsidRDefault="00CE1200" w:rsidP="00EF2E81">
      <w:pPr>
        <w:widowControl w:val="0"/>
        <w:suppressAutoHyphens/>
        <w:autoSpaceDE w:val="0"/>
        <w:ind w:left="720"/>
        <w:jc w:val="both"/>
        <w:rPr>
          <w:snapToGrid w:val="0"/>
        </w:rPr>
      </w:pPr>
    </w:p>
    <w:p w14:paraId="4DC365FB" w14:textId="77777777" w:rsidR="00EF2E81" w:rsidRDefault="00EF2E81" w:rsidP="00EF2E81">
      <w:pPr>
        <w:widowControl w:val="0"/>
        <w:suppressAutoHyphens/>
        <w:autoSpaceDE w:val="0"/>
        <w:ind w:left="720"/>
        <w:jc w:val="both"/>
        <w:rPr>
          <w:snapToGrid w:val="0"/>
        </w:rPr>
      </w:pPr>
    </w:p>
    <w:p w14:paraId="261C3370" w14:textId="77777777" w:rsidR="00EF2E81" w:rsidRDefault="00EF2E81" w:rsidP="00EF2E81">
      <w:pPr>
        <w:widowControl w:val="0"/>
        <w:suppressAutoHyphens/>
        <w:autoSpaceDE w:val="0"/>
        <w:ind w:left="720"/>
        <w:jc w:val="both"/>
        <w:rPr>
          <w:snapToGrid w:val="0"/>
        </w:rPr>
      </w:pPr>
    </w:p>
    <w:p w14:paraId="23DEC72F" w14:textId="77777777" w:rsidR="00EF2E81" w:rsidRDefault="00EF2E81" w:rsidP="00EF2E81">
      <w:pPr>
        <w:widowControl w:val="0"/>
        <w:suppressAutoHyphens/>
        <w:autoSpaceDE w:val="0"/>
        <w:ind w:left="720"/>
        <w:jc w:val="both"/>
        <w:rPr>
          <w:snapToGrid w:val="0"/>
        </w:rPr>
      </w:pPr>
    </w:p>
    <w:p w14:paraId="000E8195" w14:textId="77777777" w:rsidR="00EF2E81" w:rsidRDefault="00EF2E81" w:rsidP="00EF2E81">
      <w:pPr>
        <w:widowControl w:val="0"/>
        <w:suppressAutoHyphens/>
        <w:autoSpaceDE w:val="0"/>
        <w:ind w:left="720"/>
        <w:jc w:val="both"/>
        <w:rPr>
          <w:snapToGrid w:val="0"/>
        </w:rPr>
      </w:pPr>
    </w:p>
    <w:p w14:paraId="28CA2885" w14:textId="77777777" w:rsidR="00EF2E81" w:rsidRDefault="00EF2E81" w:rsidP="00EF2E81">
      <w:pPr>
        <w:widowControl w:val="0"/>
        <w:suppressAutoHyphens/>
        <w:autoSpaceDE w:val="0"/>
        <w:ind w:left="720"/>
        <w:jc w:val="both"/>
        <w:rPr>
          <w:snapToGrid w:val="0"/>
        </w:rPr>
      </w:pPr>
    </w:p>
    <w:p w14:paraId="6EAB45B4" w14:textId="77777777" w:rsidR="00EF2E81" w:rsidRDefault="00EF2E81" w:rsidP="00EF2E81">
      <w:pPr>
        <w:widowControl w:val="0"/>
        <w:suppressAutoHyphens/>
        <w:autoSpaceDE w:val="0"/>
        <w:ind w:left="720"/>
        <w:jc w:val="both"/>
        <w:rPr>
          <w:snapToGrid w:val="0"/>
        </w:rPr>
      </w:pPr>
    </w:p>
    <w:p w14:paraId="39D831A8" w14:textId="77777777" w:rsidR="00EF2E81" w:rsidRDefault="00EF2E81" w:rsidP="00EF2E81">
      <w:pPr>
        <w:widowControl w:val="0"/>
        <w:suppressAutoHyphens/>
        <w:autoSpaceDE w:val="0"/>
        <w:ind w:left="720"/>
        <w:jc w:val="both"/>
        <w:rPr>
          <w:snapToGrid w:val="0"/>
        </w:rPr>
      </w:pPr>
    </w:p>
    <w:p w14:paraId="2F8F290F" w14:textId="77777777" w:rsidR="00EF2E81" w:rsidRDefault="00EF2E81" w:rsidP="00EF2E81">
      <w:pPr>
        <w:widowControl w:val="0"/>
        <w:suppressAutoHyphens/>
        <w:autoSpaceDE w:val="0"/>
        <w:ind w:left="720"/>
        <w:jc w:val="both"/>
        <w:rPr>
          <w:snapToGrid w:val="0"/>
        </w:rPr>
      </w:pPr>
    </w:p>
    <w:p w14:paraId="4D270C5B" w14:textId="77777777" w:rsidR="00EF2E81" w:rsidRDefault="00EF2E81" w:rsidP="00EF2E81">
      <w:pPr>
        <w:widowControl w:val="0"/>
        <w:suppressAutoHyphens/>
        <w:autoSpaceDE w:val="0"/>
        <w:ind w:left="720"/>
        <w:jc w:val="both"/>
        <w:rPr>
          <w:snapToGrid w:val="0"/>
        </w:rPr>
      </w:pPr>
    </w:p>
    <w:p w14:paraId="7D517A5F" w14:textId="77777777" w:rsidR="00361F0B" w:rsidRDefault="00361F0B" w:rsidP="00EF2E81">
      <w:pPr>
        <w:widowControl w:val="0"/>
        <w:suppressAutoHyphens/>
        <w:autoSpaceDE w:val="0"/>
        <w:ind w:left="720"/>
        <w:jc w:val="both"/>
        <w:rPr>
          <w:snapToGrid w:val="0"/>
        </w:rPr>
        <w:sectPr w:rsidR="00361F0B" w:rsidSect="00EF2E81">
          <w:headerReference w:type="even" r:id="rId38"/>
          <w:headerReference w:type="default" r:id="rId39"/>
          <w:footerReference w:type="even" r:id="rId40"/>
          <w:footerReference w:type="default" r:id="rId41"/>
          <w:headerReference w:type="first" r:id="rId42"/>
          <w:footerReference w:type="first" r:id="rId43"/>
          <w:pgSz w:w="16839" w:h="11907" w:orient="landscape" w:code="9"/>
          <w:pgMar w:top="1701" w:right="1134" w:bottom="567" w:left="1134" w:header="709" w:footer="709" w:gutter="0"/>
          <w:cols w:space="708"/>
          <w:titlePg/>
          <w:docGrid w:linePitch="326"/>
        </w:sectPr>
      </w:pPr>
    </w:p>
    <w:p w14:paraId="4EF74F6F" w14:textId="77777777" w:rsidR="00B26DDA" w:rsidRPr="009A46EB" w:rsidRDefault="00EF2E81" w:rsidP="00B26DDA">
      <w:pPr>
        <w:jc w:val="both"/>
        <w:rPr>
          <w:b/>
          <w:szCs w:val="24"/>
        </w:rPr>
      </w:pPr>
      <w:r>
        <w:lastRenderedPageBreak/>
        <w:tab/>
      </w:r>
      <w:r w:rsidR="00B26DDA" w:rsidRPr="00B26DDA">
        <w:rPr>
          <w:b/>
          <w:szCs w:val="24"/>
        </w:rPr>
        <w:t>Teisės aktų, pagal kuriuos atliekamas reikalavimo atitikties įvertinimas, sąrašas:</w:t>
      </w:r>
    </w:p>
    <w:p w14:paraId="68DD9741" w14:textId="00AF457F" w:rsidR="00EF2E81" w:rsidRDefault="00EF2E81" w:rsidP="00EF2E81">
      <w:pPr>
        <w:tabs>
          <w:tab w:val="left" w:pos="4125"/>
        </w:tabs>
      </w:pPr>
    </w:p>
    <w:p w14:paraId="3BCDB5AF" w14:textId="77777777" w:rsidR="00B26DDA" w:rsidRDefault="00B26DDA" w:rsidP="00B26DDA">
      <w:pPr>
        <w:widowControl w:val="0"/>
        <w:numPr>
          <w:ilvl w:val="0"/>
          <w:numId w:val="7"/>
        </w:numPr>
        <w:suppressAutoHyphens/>
        <w:autoSpaceDE w:val="0"/>
        <w:jc w:val="both"/>
        <w:rPr>
          <w:szCs w:val="24"/>
        </w:rPr>
      </w:pPr>
      <w:r>
        <w:rPr>
          <w:szCs w:val="24"/>
        </w:rPr>
        <w:t>2019 m. balandžio 17 d. Europos Parlamento ir Tarybos reglamentas (ES) 2019/787 dėl spiritinių gėrimų apibrėžties, apibūdinimo, pateikimo ir ženklinimo, spiritinių gėrimų pavadinimų naudojimo pateikiant ir ženklinant kitus maisto produktus, spiritinių gėrimų geografinių nuorodų apsaugos ir žemės ūkio kilmės etilo alkoholio ir distiliatų naudojimo gaminant alkoholinius gėrimus, kuriuo panaikinamas Reglamentas (EB) Nr. 110/2008</w:t>
      </w:r>
    </w:p>
    <w:p w14:paraId="5DBFCFC4" w14:textId="77777777" w:rsidR="00B26DDA" w:rsidRDefault="00B26DDA" w:rsidP="00B26DDA">
      <w:pPr>
        <w:widowControl w:val="0"/>
        <w:suppressAutoHyphens/>
        <w:autoSpaceDE w:val="0"/>
        <w:ind w:left="360"/>
        <w:jc w:val="both"/>
        <w:rPr>
          <w:szCs w:val="24"/>
        </w:rPr>
      </w:pPr>
      <w:hyperlink r:id="rId44" w:history="1">
        <w:r w:rsidRPr="0014616B">
          <w:rPr>
            <w:rStyle w:val="Hipersaitas"/>
            <w:szCs w:val="24"/>
          </w:rPr>
          <w:t>https://eur-lex.europa.eu/legal-content/LT/TXT/?uri=CELEX:02019R0787-20240513</w:t>
        </w:r>
      </w:hyperlink>
      <w:r>
        <w:rPr>
          <w:szCs w:val="24"/>
        </w:rPr>
        <w:t xml:space="preserve"> </w:t>
      </w:r>
    </w:p>
    <w:p w14:paraId="6717FDA1" w14:textId="77777777" w:rsidR="00B26DDA" w:rsidRDefault="00B26DDA" w:rsidP="00B26DDA">
      <w:pPr>
        <w:widowControl w:val="0"/>
        <w:suppressAutoHyphens/>
        <w:autoSpaceDE w:val="0"/>
        <w:ind w:left="360"/>
        <w:jc w:val="both"/>
        <w:rPr>
          <w:szCs w:val="24"/>
        </w:rPr>
      </w:pPr>
    </w:p>
    <w:p w14:paraId="22928033" w14:textId="77777777" w:rsidR="00B26DDA" w:rsidRDefault="00B26DDA" w:rsidP="00B26DDA">
      <w:pPr>
        <w:widowControl w:val="0"/>
        <w:numPr>
          <w:ilvl w:val="0"/>
          <w:numId w:val="7"/>
        </w:numPr>
        <w:suppressAutoHyphens/>
        <w:autoSpaceDE w:val="0"/>
        <w:jc w:val="both"/>
        <w:rPr>
          <w:szCs w:val="24"/>
        </w:rPr>
      </w:pPr>
      <w:r>
        <w:rPr>
          <w:szCs w:val="24"/>
        </w:rPr>
        <w:t>2013 m. gruodžio 17 d. Europos Parlamento ir Tarybos reglamentas (ES) Nr. 1308/2013, kuriuo nustatomas bendras žemės ūkio produktų rinkų organizavimas ir panaikinami Tarybos reglamentai (EEB) Nr. 922/72, (EEB) Nr. 234/79, (EB) Nr. 1037/2001 ir (EB) Nr. 1234/2007</w:t>
      </w:r>
    </w:p>
    <w:p w14:paraId="694CF0E1" w14:textId="77777777" w:rsidR="00B26DDA" w:rsidRDefault="00B26DDA" w:rsidP="00B26DDA">
      <w:pPr>
        <w:widowControl w:val="0"/>
        <w:suppressAutoHyphens/>
        <w:autoSpaceDE w:val="0"/>
        <w:ind w:left="360"/>
        <w:jc w:val="both"/>
        <w:rPr>
          <w:szCs w:val="24"/>
        </w:rPr>
      </w:pPr>
      <w:hyperlink r:id="rId45" w:history="1">
        <w:r w:rsidRPr="0014616B">
          <w:rPr>
            <w:rStyle w:val="Hipersaitas"/>
            <w:szCs w:val="24"/>
          </w:rPr>
          <w:t>https://eur-lex.europa.eu/legal-content/LT/TXT/?uri=CELEX:02013R1308-20240513</w:t>
        </w:r>
      </w:hyperlink>
      <w:r>
        <w:rPr>
          <w:szCs w:val="24"/>
        </w:rPr>
        <w:t xml:space="preserve"> </w:t>
      </w:r>
    </w:p>
    <w:p w14:paraId="5F7F3C78" w14:textId="77777777" w:rsidR="00B26DDA" w:rsidRDefault="00B26DDA" w:rsidP="00B26DDA">
      <w:pPr>
        <w:widowControl w:val="0"/>
        <w:suppressAutoHyphens/>
        <w:autoSpaceDE w:val="0"/>
        <w:ind w:left="360"/>
        <w:jc w:val="both"/>
        <w:rPr>
          <w:szCs w:val="24"/>
        </w:rPr>
      </w:pPr>
    </w:p>
    <w:p w14:paraId="47C1C519" w14:textId="0EEF5D07" w:rsidR="00B26DDA" w:rsidRDefault="00B26DDA" w:rsidP="00B26DDA">
      <w:pPr>
        <w:widowControl w:val="0"/>
        <w:numPr>
          <w:ilvl w:val="0"/>
          <w:numId w:val="7"/>
        </w:numPr>
        <w:suppressAutoHyphens/>
        <w:autoSpaceDE w:val="0"/>
        <w:jc w:val="both"/>
        <w:rPr>
          <w:szCs w:val="24"/>
        </w:rPr>
      </w:pPr>
      <w:r>
        <w:rPr>
          <w:szCs w:val="24"/>
        </w:rPr>
        <w:t>2019 m. kovo 12 d. Komisijos deleguotasis reglamentas (ES) 2019/934, kuriuo papildomos Europos Parlamento ir Tarybos reglamento (ES) Nr. 1308/2013 nuostatos dėl vynuogių auginimo zonų, kuriose galima padidinti alkoholio koncentraciją, leidžiamų vynininkystės metodų ir apribojimų, taikytinų vynuogių produktų gamybai ir laikymui, mažiausios procentinės alkoholio koncentracijos šalutiniuose produktuose bei tų produktų šalinimo ir OIV bylų paskelbimo</w:t>
      </w:r>
    </w:p>
    <w:p w14:paraId="6FB3365B" w14:textId="77777777" w:rsidR="00B26DDA" w:rsidRDefault="00B26DDA" w:rsidP="00B26DDA">
      <w:pPr>
        <w:widowControl w:val="0"/>
        <w:suppressAutoHyphens/>
        <w:autoSpaceDE w:val="0"/>
        <w:ind w:left="360"/>
        <w:jc w:val="both"/>
        <w:rPr>
          <w:szCs w:val="24"/>
        </w:rPr>
      </w:pPr>
      <w:hyperlink r:id="rId46" w:history="1">
        <w:r w:rsidRPr="0014616B">
          <w:rPr>
            <w:rStyle w:val="Hipersaitas"/>
            <w:szCs w:val="24"/>
          </w:rPr>
          <w:t>https://eur-lex.europa.eu/legal-content/LT/TXT/?uri=CELEX:02019R0934-20220208</w:t>
        </w:r>
      </w:hyperlink>
      <w:r>
        <w:rPr>
          <w:szCs w:val="24"/>
        </w:rPr>
        <w:t xml:space="preserve"> </w:t>
      </w:r>
    </w:p>
    <w:p w14:paraId="3B56E080" w14:textId="77777777" w:rsidR="00B26DDA" w:rsidRDefault="00B26DDA" w:rsidP="00B26DDA">
      <w:pPr>
        <w:widowControl w:val="0"/>
        <w:suppressAutoHyphens/>
        <w:autoSpaceDE w:val="0"/>
        <w:ind w:left="360"/>
        <w:jc w:val="both"/>
        <w:rPr>
          <w:szCs w:val="24"/>
        </w:rPr>
      </w:pPr>
    </w:p>
    <w:p w14:paraId="49393EF0" w14:textId="77777777" w:rsidR="00B26DDA" w:rsidRDefault="00B26DDA" w:rsidP="038AB047">
      <w:pPr>
        <w:widowControl w:val="0"/>
        <w:numPr>
          <w:ilvl w:val="0"/>
          <w:numId w:val="7"/>
        </w:numPr>
        <w:suppressAutoHyphens/>
        <w:autoSpaceDE w:val="0"/>
        <w:jc w:val="both"/>
      </w:pPr>
      <w:r>
        <w:t>2014 m. vasario 26 d. Europos Parlamento ir Tarybos reglamentas (ES) Nr. 251/2014  dėl aromatizuotų vyno produktų apibrėžties, aprašymo, pateikimo, ženklinimo ir geografinių nuorodų apsaugos, kuriuo panaikinamas Tarybos reglamentas (EEB) Nr. 1601/91</w:t>
      </w:r>
      <w:commentRangeStart w:id="0"/>
      <w:commentRangeEnd w:id="0"/>
      <w:r>
        <w:rPr>
          <w:rStyle w:val="Komentaronuoroda"/>
          <w:sz w:val="24"/>
          <w:szCs w:val="20"/>
        </w:rPr>
        <w:commentReference w:id="0"/>
      </w:r>
    </w:p>
    <w:p w14:paraId="34305D06" w14:textId="77777777" w:rsidR="00B26DDA" w:rsidRDefault="00B26DDA" w:rsidP="00B26DDA">
      <w:pPr>
        <w:widowControl w:val="0"/>
        <w:suppressAutoHyphens/>
        <w:autoSpaceDE w:val="0"/>
        <w:ind w:left="360"/>
        <w:jc w:val="both"/>
        <w:rPr>
          <w:szCs w:val="24"/>
        </w:rPr>
      </w:pPr>
      <w:hyperlink r:id="rId51" w:history="1">
        <w:r w:rsidRPr="0014616B">
          <w:rPr>
            <w:rStyle w:val="Hipersaitas"/>
            <w:szCs w:val="24"/>
          </w:rPr>
          <w:t>https://eur-lex.europa.eu/legal-content/LT/TXT/?uri=CELEX:02014R0251-20231208</w:t>
        </w:r>
      </w:hyperlink>
      <w:r>
        <w:rPr>
          <w:szCs w:val="24"/>
        </w:rPr>
        <w:t xml:space="preserve"> </w:t>
      </w:r>
    </w:p>
    <w:p w14:paraId="50363EB1" w14:textId="77777777" w:rsidR="00B26DDA" w:rsidRDefault="00B26DDA" w:rsidP="00B26DDA">
      <w:pPr>
        <w:widowControl w:val="0"/>
        <w:suppressAutoHyphens/>
        <w:autoSpaceDE w:val="0"/>
        <w:ind w:left="360"/>
        <w:jc w:val="both"/>
        <w:rPr>
          <w:szCs w:val="24"/>
        </w:rPr>
      </w:pPr>
    </w:p>
    <w:p w14:paraId="3E6D6EDF" w14:textId="77777777" w:rsidR="00B26DDA" w:rsidRDefault="00B26DDA" w:rsidP="00B26DDA">
      <w:pPr>
        <w:widowControl w:val="0"/>
        <w:numPr>
          <w:ilvl w:val="0"/>
          <w:numId w:val="7"/>
        </w:numPr>
        <w:suppressAutoHyphens/>
        <w:autoSpaceDE w:val="0"/>
        <w:jc w:val="both"/>
        <w:rPr>
          <w:szCs w:val="24"/>
        </w:rPr>
      </w:pPr>
      <w:r>
        <w:rPr>
          <w:szCs w:val="24"/>
        </w:rPr>
        <w:t>Lietuvos Respublikos alkoholio kontrolės įstatymas</w:t>
      </w:r>
    </w:p>
    <w:p w14:paraId="074323A0" w14:textId="77777777" w:rsidR="00B26DDA" w:rsidRDefault="00B26DDA" w:rsidP="00B26DDA">
      <w:pPr>
        <w:widowControl w:val="0"/>
        <w:suppressAutoHyphens/>
        <w:autoSpaceDE w:val="0"/>
        <w:ind w:left="360"/>
        <w:jc w:val="both"/>
        <w:rPr>
          <w:szCs w:val="24"/>
        </w:rPr>
      </w:pPr>
      <w:hyperlink r:id="rId52" w:history="1">
        <w:r w:rsidRPr="0014616B">
          <w:rPr>
            <w:rStyle w:val="Hipersaitas"/>
            <w:szCs w:val="24"/>
          </w:rPr>
          <w:t>https://e-seimas.lrs.lt/portal/legalAct/lt/TAD/TAIS.17752/asr</w:t>
        </w:r>
      </w:hyperlink>
      <w:r>
        <w:rPr>
          <w:szCs w:val="24"/>
        </w:rPr>
        <w:t xml:space="preserve"> </w:t>
      </w:r>
    </w:p>
    <w:p w14:paraId="1A447602" w14:textId="77777777" w:rsidR="00B26DDA" w:rsidRDefault="00B26DDA" w:rsidP="00B26DDA">
      <w:pPr>
        <w:widowControl w:val="0"/>
        <w:suppressAutoHyphens/>
        <w:autoSpaceDE w:val="0"/>
        <w:ind w:left="360"/>
        <w:jc w:val="both"/>
        <w:rPr>
          <w:szCs w:val="24"/>
        </w:rPr>
      </w:pPr>
    </w:p>
    <w:p w14:paraId="35BA76F6" w14:textId="77777777" w:rsidR="00B26DDA" w:rsidRDefault="00B26DDA" w:rsidP="00B26DDA">
      <w:pPr>
        <w:widowControl w:val="0"/>
        <w:numPr>
          <w:ilvl w:val="0"/>
          <w:numId w:val="7"/>
        </w:numPr>
        <w:suppressAutoHyphens/>
        <w:autoSpaceDE w:val="0"/>
        <w:jc w:val="both"/>
        <w:rPr>
          <w:szCs w:val="24"/>
        </w:rPr>
      </w:pPr>
      <w:r>
        <w:rPr>
          <w:szCs w:val="24"/>
        </w:rPr>
        <w:t xml:space="preserve">Spiritinių gėrimų gamybos, tvarkymo, prekinio pateikimo ir geografinių nuorodų apsaugos techninis reglamentas, patvirtintas Lietuvos Respublikos žemės ūkio ministro 2003 m. balandžio 7 d. įsakymu Nr. 3D-139 „Dėl Spiritinių gėrimų gamybos, tvarkymo, prekinio pateikimo ir geografinių nuorodų apsaugos techninio reglamento patvirtinimo“ </w:t>
      </w:r>
    </w:p>
    <w:p w14:paraId="4D7279EF" w14:textId="77777777" w:rsidR="00B26DDA" w:rsidRDefault="00B26DDA" w:rsidP="00B26DDA">
      <w:pPr>
        <w:widowControl w:val="0"/>
        <w:suppressAutoHyphens/>
        <w:autoSpaceDE w:val="0"/>
        <w:ind w:left="360"/>
        <w:jc w:val="both"/>
        <w:rPr>
          <w:szCs w:val="24"/>
        </w:rPr>
      </w:pPr>
      <w:hyperlink r:id="rId53" w:history="1">
        <w:r w:rsidRPr="0014616B">
          <w:rPr>
            <w:rStyle w:val="Hipersaitas"/>
            <w:szCs w:val="24"/>
          </w:rPr>
          <w:t>https://e-seimas.lrs.lt/portal/legalAct/lt/TAD/TAIS.209177/asr</w:t>
        </w:r>
      </w:hyperlink>
      <w:r>
        <w:rPr>
          <w:szCs w:val="24"/>
        </w:rPr>
        <w:t xml:space="preserve"> </w:t>
      </w:r>
    </w:p>
    <w:p w14:paraId="15F0916C" w14:textId="77777777" w:rsidR="00B26DDA" w:rsidRDefault="00B26DDA" w:rsidP="00B26DDA">
      <w:pPr>
        <w:widowControl w:val="0"/>
        <w:suppressAutoHyphens/>
        <w:autoSpaceDE w:val="0"/>
        <w:ind w:left="360"/>
        <w:jc w:val="both"/>
        <w:rPr>
          <w:szCs w:val="24"/>
        </w:rPr>
      </w:pPr>
    </w:p>
    <w:p w14:paraId="3BBC9300" w14:textId="77777777" w:rsidR="00B26DDA" w:rsidRDefault="00B26DDA" w:rsidP="00B26DDA">
      <w:pPr>
        <w:widowControl w:val="0"/>
        <w:numPr>
          <w:ilvl w:val="0"/>
          <w:numId w:val="7"/>
        </w:numPr>
        <w:suppressAutoHyphens/>
        <w:autoSpaceDE w:val="0"/>
        <w:jc w:val="both"/>
        <w:rPr>
          <w:szCs w:val="24"/>
        </w:rPr>
      </w:pPr>
      <w:r>
        <w:rPr>
          <w:szCs w:val="24"/>
        </w:rPr>
        <w:t xml:space="preserve">Vaisių ir (ar) uogų vyno, vaisių ir (ar) uogų gėrimų ir kokteilių apibūdinimo, gamybos ir prekinio pateikimo techninis reglamentas, patvirtintas Lietuvos Respublikos žemės ūkio ministro 2001 m. gegužės 25 d. įsakymu Nr. 171 „Dėl Vaisių ir (ar) uogų vyno, vaisių ir (ar) uogų gėrimų ir kokteilių apibūdinimo, gamybos ir prekinio pateikimo techninio reglamento patvirtinimo“ kokybės reikalavimai </w:t>
      </w:r>
    </w:p>
    <w:p w14:paraId="4C604449" w14:textId="77777777" w:rsidR="00B26DDA" w:rsidRDefault="00B26DDA" w:rsidP="00B26DDA">
      <w:pPr>
        <w:widowControl w:val="0"/>
        <w:suppressAutoHyphens/>
        <w:autoSpaceDE w:val="0"/>
        <w:ind w:left="360"/>
        <w:jc w:val="both"/>
        <w:rPr>
          <w:szCs w:val="24"/>
        </w:rPr>
      </w:pPr>
      <w:hyperlink r:id="rId54" w:history="1">
        <w:r w:rsidRPr="0014616B">
          <w:rPr>
            <w:rStyle w:val="Hipersaitas"/>
            <w:szCs w:val="24"/>
          </w:rPr>
          <w:t>https://e-seimas.lrs.lt/portal/legalAct/lt/TAD/TAIS.135527/asr</w:t>
        </w:r>
      </w:hyperlink>
      <w:r>
        <w:rPr>
          <w:szCs w:val="24"/>
        </w:rPr>
        <w:t xml:space="preserve"> </w:t>
      </w:r>
    </w:p>
    <w:p w14:paraId="43183FAB" w14:textId="77777777" w:rsidR="00B26DDA" w:rsidRDefault="00B26DDA" w:rsidP="00B26DDA">
      <w:pPr>
        <w:widowControl w:val="0"/>
        <w:suppressAutoHyphens/>
        <w:autoSpaceDE w:val="0"/>
        <w:ind w:left="360"/>
        <w:jc w:val="both"/>
        <w:rPr>
          <w:szCs w:val="24"/>
        </w:rPr>
      </w:pPr>
    </w:p>
    <w:p w14:paraId="242883D5" w14:textId="77777777" w:rsidR="00B26DDA" w:rsidRDefault="00B26DDA" w:rsidP="00B26DDA">
      <w:pPr>
        <w:widowControl w:val="0"/>
        <w:numPr>
          <w:ilvl w:val="0"/>
          <w:numId w:val="7"/>
        </w:numPr>
        <w:suppressAutoHyphens/>
        <w:autoSpaceDE w:val="0"/>
        <w:jc w:val="both"/>
        <w:rPr>
          <w:szCs w:val="24"/>
        </w:rPr>
      </w:pPr>
      <w:r>
        <w:rPr>
          <w:szCs w:val="24"/>
        </w:rPr>
        <w:t>Sidrų apibūdinimo, gamybos ir prekinio pateikimo techninis reglamentas, patvirtintas Lietuvos Respublikos žemės ūkio ministro 2003 m. balandžio 8 d. įsakymu Nr. 3D-146 „Dėl Sidrų apibūdinimo, gamybos ir prekinio pateikimo techninio reglamento patvirtinimo“</w:t>
      </w:r>
    </w:p>
    <w:p w14:paraId="415637A7" w14:textId="77777777" w:rsidR="00B26DDA" w:rsidRDefault="00B26DDA" w:rsidP="00B26DDA">
      <w:pPr>
        <w:widowControl w:val="0"/>
        <w:suppressAutoHyphens/>
        <w:autoSpaceDE w:val="0"/>
        <w:ind w:left="360"/>
        <w:jc w:val="both"/>
        <w:rPr>
          <w:szCs w:val="24"/>
        </w:rPr>
      </w:pPr>
      <w:hyperlink r:id="rId55" w:history="1">
        <w:r w:rsidRPr="0014616B">
          <w:rPr>
            <w:rStyle w:val="Hipersaitas"/>
            <w:szCs w:val="24"/>
          </w:rPr>
          <w:t>https://e-seimas.lrs.lt/portal/legalAct/lt/TAD/TAIS.208863/asr</w:t>
        </w:r>
      </w:hyperlink>
      <w:r>
        <w:rPr>
          <w:szCs w:val="24"/>
        </w:rPr>
        <w:t xml:space="preserve"> </w:t>
      </w:r>
    </w:p>
    <w:p w14:paraId="423E2B98" w14:textId="77777777" w:rsidR="00B26DDA" w:rsidRDefault="00B26DDA" w:rsidP="00B26DDA">
      <w:pPr>
        <w:widowControl w:val="0"/>
        <w:suppressAutoHyphens/>
        <w:autoSpaceDE w:val="0"/>
        <w:ind w:left="360"/>
        <w:jc w:val="both"/>
        <w:rPr>
          <w:szCs w:val="24"/>
        </w:rPr>
      </w:pPr>
    </w:p>
    <w:p w14:paraId="23A1E121" w14:textId="77777777" w:rsidR="00B26DDA" w:rsidRDefault="00B26DDA" w:rsidP="00B26DDA">
      <w:pPr>
        <w:widowControl w:val="0"/>
        <w:numPr>
          <w:ilvl w:val="0"/>
          <w:numId w:val="7"/>
        </w:numPr>
        <w:suppressAutoHyphens/>
        <w:autoSpaceDE w:val="0"/>
        <w:jc w:val="both"/>
        <w:rPr>
          <w:szCs w:val="24"/>
        </w:rPr>
      </w:pPr>
      <w:r>
        <w:rPr>
          <w:szCs w:val="24"/>
        </w:rPr>
        <w:t>Alkoholinių kokteilių apibūdinimo, gamybos ir prekinio pateikimo techninis reglamentas, patvirtintas Lietuvos Respublikos žemės ūkio ministro 2003 m. rugpjūčio 5 d. įsakymu Nr. 3D-322 „Dėl Alkoholinių kokteilių apibūdinimo, gamybos ir prekinio pateikimo techninio reglamento patvirtinimo“</w:t>
      </w:r>
    </w:p>
    <w:p w14:paraId="14467234" w14:textId="77777777" w:rsidR="00B26DDA" w:rsidRDefault="00B26DDA" w:rsidP="00B26DDA">
      <w:pPr>
        <w:widowControl w:val="0"/>
        <w:suppressAutoHyphens/>
        <w:autoSpaceDE w:val="0"/>
        <w:ind w:left="360"/>
        <w:jc w:val="both"/>
        <w:rPr>
          <w:szCs w:val="24"/>
        </w:rPr>
      </w:pPr>
      <w:hyperlink r:id="rId56" w:history="1">
        <w:r w:rsidRPr="0014616B">
          <w:rPr>
            <w:rStyle w:val="Hipersaitas"/>
            <w:szCs w:val="24"/>
          </w:rPr>
          <w:t>https://e-seimas.lrs.lt/portal/legalAct/lt/TAD/TAIS.216462/asr</w:t>
        </w:r>
      </w:hyperlink>
      <w:r>
        <w:rPr>
          <w:szCs w:val="24"/>
        </w:rPr>
        <w:t xml:space="preserve"> </w:t>
      </w:r>
    </w:p>
    <w:p w14:paraId="3CF42274" w14:textId="77777777" w:rsidR="00B26DDA" w:rsidRDefault="00B26DDA" w:rsidP="00B26DDA">
      <w:pPr>
        <w:widowControl w:val="0"/>
        <w:suppressAutoHyphens/>
        <w:autoSpaceDE w:val="0"/>
        <w:ind w:left="360"/>
        <w:jc w:val="both"/>
        <w:rPr>
          <w:szCs w:val="24"/>
        </w:rPr>
      </w:pPr>
    </w:p>
    <w:p w14:paraId="6D97E5BE" w14:textId="77777777" w:rsidR="00B26DDA" w:rsidRDefault="00B26DDA" w:rsidP="00B26DDA">
      <w:pPr>
        <w:widowControl w:val="0"/>
        <w:numPr>
          <w:ilvl w:val="0"/>
          <w:numId w:val="7"/>
        </w:numPr>
        <w:suppressAutoHyphens/>
        <w:autoSpaceDE w:val="0"/>
        <w:jc w:val="both"/>
        <w:rPr>
          <w:szCs w:val="24"/>
        </w:rPr>
      </w:pPr>
      <w:r>
        <w:rPr>
          <w:szCs w:val="24"/>
        </w:rPr>
        <w:t>Alaus ir alaus kokteilių apibūdinimo, gamybos ir prekinio pateikimo techninis reglamentas, patvirtintas Lietuvos Respublikos žemės ūkio ministro 2002 m. gruodžio 11 d. įsakymu Nr. 487 „Dėl Alaus ir alaus kokteilių apibūdinimo, gamybos ir prekinio pateikimo techninio reglamento patvirtinimo“</w:t>
      </w:r>
    </w:p>
    <w:p w14:paraId="77559458" w14:textId="77777777" w:rsidR="00B26DDA" w:rsidRDefault="00B26DDA" w:rsidP="00B26DDA">
      <w:pPr>
        <w:widowControl w:val="0"/>
        <w:suppressAutoHyphens/>
        <w:autoSpaceDE w:val="0"/>
        <w:ind w:left="360"/>
        <w:jc w:val="both"/>
        <w:rPr>
          <w:szCs w:val="24"/>
        </w:rPr>
      </w:pPr>
      <w:hyperlink r:id="rId57" w:history="1">
        <w:r w:rsidRPr="0014616B">
          <w:rPr>
            <w:rStyle w:val="Hipersaitas"/>
            <w:szCs w:val="24"/>
          </w:rPr>
          <w:t>https://e-seimas.lrs.lt/portal/legalAct/lt/TAD/TAIS.197926/asr</w:t>
        </w:r>
      </w:hyperlink>
      <w:r>
        <w:rPr>
          <w:szCs w:val="24"/>
        </w:rPr>
        <w:t xml:space="preserve"> </w:t>
      </w:r>
    </w:p>
    <w:p w14:paraId="652C38B8" w14:textId="77777777" w:rsidR="00B26DDA" w:rsidRDefault="00B26DDA" w:rsidP="00B26DDA">
      <w:pPr>
        <w:widowControl w:val="0"/>
        <w:suppressAutoHyphens/>
        <w:autoSpaceDE w:val="0"/>
        <w:ind w:left="360"/>
        <w:jc w:val="both"/>
        <w:rPr>
          <w:szCs w:val="24"/>
        </w:rPr>
      </w:pPr>
    </w:p>
    <w:p w14:paraId="2928EA95" w14:textId="77777777" w:rsidR="00B26DDA" w:rsidRDefault="00B26DDA" w:rsidP="00B26DDA">
      <w:pPr>
        <w:widowControl w:val="0"/>
        <w:numPr>
          <w:ilvl w:val="0"/>
          <w:numId w:val="7"/>
        </w:numPr>
        <w:suppressAutoHyphens/>
        <w:autoSpaceDE w:val="0"/>
        <w:jc w:val="both"/>
        <w:rPr>
          <w:szCs w:val="24"/>
        </w:rPr>
      </w:pPr>
      <w:r>
        <w:rPr>
          <w:szCs w:val="24"/>
        </w:rPr>
        <w:t>Fermentuotų alkoholinių gėrimų mišinių, fermentuotų alkoholinių gėrimų ir nealkoholinių gėrimų mišinių apibūdinimo, gamybos ir prekinio pateikimo techninis reglamentas, patvirtintas Lietuvos Respublikos žemės ūkio ministro 2016 m. sausio 4 d. įsakymu Nr. 3D-1 „Dėl Fermentuotų alkoholinių gėrimų mišinių, fermentuotų alkoholinių gėrimų ir nealkoholinių gėrimų mišinių apibūdinimo, gamybos ir prekinio pateikimo techninio reglamento patvirtinimo“</w:t>
      </w:r>
    </w:p>
    <w:p w14:paraId="21BC1E49" w14:textId="77777777" w:rsidR="00B26DDA" w:rsidRDefault="00B26DDA" w:rsidP="00B26DDA">
      <w:pPr>
        <w:widowControl w:val="0"/>
        <w:suppressAutoHyphens/>
        <w:autoSpaceDE w:val="0"/>
        <w:ind w:left="360"/>
        <w:jc w:val="both"/>
        <w:rPr>
          <w:szCs w:val="24"/>
        </w:rPr>
      </w:pPr>
      <w:hyperlink r:id="rId58" w:history="1">
        <w:r w:rsidRPr="0014616B">
          <w:rPr>
            <w:rStyle w:val="Hipersaitas"/>
            <w:szCs w:val="24"/>
          </w:rPr>
          <w:t>https://e-seimas.lrs.lt/portal/legalAct/lt/TAD/9385d200b32911e59010bea026bdb259/asr</w:t>
        </w:r>
      </w:hyperlink>
      <w:r>
        <w:rPr>
          <w:szCs w:val="24"/>
        </w:rPr>
        <w:t xml:space="preserve"> </w:t>
      </w:r>
    </w:p>
    <w:p w14:paraId="5B52012B" w14:textId="77777777" w:rsidR="00B26DDA" w:rsidRDefault="00B26DDA" w:rsidP="00B26DDA">
      <w:pPr>
        <w:widowControl w:val="0"/>
        <w:suppressAutoHyphens/>
        <w:autoSpaceDE w:val="0"/>
        <w:ind w:left="360"/>
        <w:jc w:val="both"/>
        <w:rPr>
          <w:szCs w:val="24"/>
        </w:rPr>
      </w:pPr>
    </w:p>
    <w:p w14:paraId="48E2AD49" w14:textId="77777777" w:rsidR="00B26DDA" w:rsidRDefault="00B26DDA" w:rsidP="00B26DDA">
      <w:pPr>
        <w:widowControl w:val="0"/>
        <w:numPr>
          <w:ilvl w:val="0"/>
          <w:numId w:val="7"/>
        </w:numPr>
        <w:suppressAutoHyphens/>
        <w:autoSpaceDE w:val="0"/>
        <w:jc w:val="both"/>
        <w:rPr>
          <w:szCs w:val="24"/>
        </w:rPr>
      </w:pPr>
      <w:r>
        <w:rPr>
          <w:szCs w:val="24"/>
        </w:rPr>
        <w:t>Midaus, midaus gėrimų, aromatizuotų midaus gėrimų, midaus kokteilių ir spiritinių gėrimų, pagamintų iš midaus, apibūdinimo, gamybos ir prekinio pateikimo techninis reglamentas, patvirtintas Lietuvos Respublikos žemės ūkio ministro 2003 m. rugsėjo 26 d. įsakymu Nr. 3D-393 „Dėl Midaus, midaus gėrimų, aromatizuotų midaus gėrimų, midaus kokteilių ir spiritinių gėrimų, pagamintų iš midaus, apibūdinimo, gamybos ir prekinio pateikimo techninio reglamento patvirtinimo“</w:t>
      </w:r>
    </w:p>
    <w:p w14:paraId="3B1EB066" w14:textId="77777777" w:rsidR="00B26DDA" w:rsidRDefault="00B26DDA" w:rsidP="00B26DDA">
      <w:pPr>
        <w:widowControl w:val="0"/>
        <w:suppressAutoHyphens/>
        <w:autoSpaceDE w:val="0"/>
        <w:ind w:left="360"/>
        <w:jc w:val="both"/>
        <w:rPr>
          <w:szCs w:val="24"/>
        </w:rPr>
      </w:pPr>
      <w:hyperlink r:id="rId59" w:history="1">
        <w:r w:rsidRPr="0014616B">
          <w:rPr>
            <w:rStyle w:val="Hipersaitas"/>
            <w:szCs w:val="24"/>
          </w:rPr>
          <w:t>https://e-seimas.lrs.lt/portal/legalAct/lt/TAD/7dddc520574411eaac56f6e40072e018</w:t>
        </w:r>
      </w:hyperlink>
      <w:r>
        <w:rPr>
          <w:szCs w:val="24"/>
        </w:rPr>
        <w:t xml:space="preserve"> </w:t>
      </w:r>
    </w:p>
    <w:p w14:paraId="4DDAEC16" w14:textId="77777777" w:rsidR="00B26DDA" w:rsidRDefault="00B26DDA" w:rsidP="00B26DDA">
      <w:pPr>
        <w:widowControl w:val="0"/>
        <w:suppressAutoHyphens/>
        <w:autoSpaceDE w:val="0"/>
        <w:ind w:left="360"/>
        <w:jc w:val="both"/>
        <w:rPr>
          <w:szCs w:val="24"/>
        </w:rPr>
      </w:pPr>
    </w:p>
    <w:p w14:paraId="2361FB98" w14:textId="77777777" w:rsidR="00B26DDA" w:rsidRDefault="00B26DDA" w:rsidP="00B26DDA">
      <w:pPr>
        <w:widowControl w:val="0"/>
        <w:numPr>
          <w:ilvl w:val="0"/>
          <w:numId w:val="7"/>
        </w:numPr>
        <w:suppressAutoHyphens/>
        <w:autoSpaceDE w:val="0"/>
        <w:jc w:val="both"/>
        <w:rPr>
          <w:szCs w:val="24"/>
        </w:rPr>
      </w:pPr>
      <w:r>
        <w:rPr>
          <w:szCs w:val="24"/>
        </w:rPr>
        <w:t>Alkoholio produktų kokybės tyrimo laboratorijų atestavimo tvarka, patvirtinta Valstybinės maisto ir veterinarijos tarnybos direktoriaus 2001 m. gegužės 14 d. įsakymu Nr. 212 „Dėl Alkoholio produktų kokybės tyrimo laboratorijų atestavimo tvarkos patvirtinimo“</w:t>
      </w:r>
    </w:p>
    <w:p w14:paraId="00FDB516" w14:textId="77777777" w:rsidR="00B26DDA" w:rsidRDefault="00B26DDA" w:rsidP="00B26DDA">
      <w:pPr>
        <w:widowControl w:val="0"/>
        <w:suppressAutoHyphens/>
        <w:autoSpaceDE w:val="0"/>
        <w:ind w:left="360"/>
        <w:jc w:val="both"/>
        <w:rPr>
          <w:szCs w:val="24"/>
        </w:rPr>
      </w:pPr>
      <w:hyperlink r:id="rId60" w:history="1">
        <w:r w:rsidRPr="0014616B">
          <w:rPr>
            <w:rStyle w:val="Hipersaitas"/>
            <w:szCs w:val="24"/>
          </w:rPr>
          <w:t>https://e-seimas.lrs.lt/portal/legalAct/lt/TAD/TAIS.136444/asr</w:t>
        </w:r>
      </w:hyperlink>
      <w:r>
        <w:rPr>
          <w:szCs w:val="24"/>
        </w:rPr>
        <w:t xml:space="preserve"> </w:t>
      </w:r>
    </w:p>
    <w:p w14:paraId="2018CFAE" w14:textId="77777777" w:rsidR="00B26DDA" w:rsidRPr="007179FD" w:rsidRDefault="00B26DDA" w:rsidP="00B26DDA">
      <w:pPr>
        <w:widowControl w:val="0"/>
        <w:suppressAutoHyphens/>
        <w:autoSpaceDE w:val="0"/>
        <w:ind w:left="720"/>
        <w:jc w:val="both"/>
        <w:rPr>
          <w:snapToGrid w:val="0"/>
        </w:rPr>
      </w:pPr>
    </w:p>
    <w:p w14:paraId="1800905A" w14:textId="77777777" w:rsidR="00EF2E81" w:rsidRDefault="00EF2E81" w:rsidP="00EF2E81">
      <w:pPr>
        <w:tabs>
          <w:tab w:val="left" w:pos="4125"/>
        </w:tabs>
      </w:pPr>
    </w:p>
    <w:sectPr w:rsidR="00EF2E81" w:rsidSect="00361F0B">
      <w:pgSz w:w="11907" w:h="16839" w:code="9"/>
      <w:pgMar w:top="1134" w:right="567" w:bottom="1134" w:left="1701" w:header="709" w:footer="709"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ūta Venckutė" w:date="2026-05-08T15:00:00Z" w:initials="RV">
    <w:p w14:paraId="4FE042F9" w14:textId="387180F3" w:rsidR="00000000" w:rsidRDefault="00000000">
      <w:r>
        <w:annotationRef/>
      </w:r>
      <w:r w:rsidRPr="226C41A8">
        <w:t>Vertinant ženklinimą, siūlytina atkreipti dėmesį ne tik į privalomos informacijos pateikimo faktą, bet ir į jos įskaitomumą bei lengvą matomumą vartotojui. Praktikoje pasitaiko atvejų, kai tinkamumo vartoti terminas pateikiamas nepakankamo konstrasto būdu ar sunkiai įžiūrimoje vietoje (juodas įspaudas ant tamsaus stiklo, vos matomas reljefinis kodas, terminas, kurį reikia "gaudyti prieš šviesą), todėl informacija tampa sunkiai prieinama vartotojui.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042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E32A2" w16cex:dateUtc="2026-05-08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042F9" w16cid:durableId="399E32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210C" w14:textId="77777777" w:rsidR="00D4592D" w:rsidRDefault="00D4592D">
      <w:r>
        <w:separator/>
      </w:r>
    </w:p>
  </w:endnote>
  <w:endnote w:type="continuationSeparator" w:id="0">
    <w:p w14:paraId="58781E15" w14:textId="77777777" w:rsidR="00D4592D" w:rsidRDefault="00D4592D">
      <w:r>
        <w:continuationSeparator/>
      </w:r>
    </w:p>
  </w:endnote>
  <w:endnote w:type="continuationNotice" w:id="1">
    <w:p w14:paraId="59A7D6F3" w14:textId="77777777" w:rsidR="00D4592D" w:rsidRDefault="00D45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CC64" w14:textId="77777777" w:rsidR="00D4592D" w:rsidRDefault="00D4592D">
      <w:r>
        <w:separator/>
      </w:r>
    </w:p>
  </w:footnote>
  <w:footnote w:type="continuationSeparator" w:id="0">
    <w:p w14:paraId="2617ABEE" w14:textId="77777777" w:rsidR="00D4592D" w:rsidRDefault="00D4592D">
      <w:r>
        <w:continuationSeparator/>
      </w:r>
    </w:p>
  </w:footnote>
  <w:footnote w:type="continuationNotice" w:id="1">
    <w:p w14:paraId="25165ECE" w14:textId="77777777" w:rsidR="00D4592D" w:rsidRDefault="00D45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1EA"/>
    <w:multiLevelType w:val="multilevel"/>
    <w:tmpl w:val="96C6D1E6"/>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947B59"/>
    <w:multiLevelType w:val="multilevel"/>
    <w:tmpl w:val="98CC53B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5"/>
  </w:num>
  <w:num w:numId="6" w16cid:durableId="1847402974">
    <w:abstractNumId w:val="6"/>
  </w:num>
  <w:num w:numId="7" w16cid:durableId="7191287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Venckutė">
    <w15:presenceInfo w15:providerId="AD" w15:userId="S::ruta.venckute@vmvt.lt::179a4650-c939-4f9b-acd1-791ea0a0a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6E3D"/>
    <w:rsid w:val="00010A5B"/>
    <w:rsid w:val="000111EC"/>
    <w:rsid w:val="00011D8F"/>
    <w:rsid w:val="0001558A"/>
    <w:rsid w:val="00015933"/>
    <w:rsid w:val="00021E60"/>
    <w:rsid w:val="000229C7"/>
    <w:rsid w:val="0003150D"/>
    <w:rsid w:val="00031B3D"/>
    <w:rsid w:val="000349C9"/>
    <w:rsid w:val="00034E08"/>
    <w:rsid w:val="000362AD"/>
    <w:rsid w:val="000415AD"/>
    <w:rsid w:val="0004458F"/>
    <w:rsid w:val="000459F2"/>
    <w:rsid w:val="00056D0B"/>
    <w:rsid w:val="00057A75"/>
    <w:rsid w:val="00067E47"/>
    <w:rsid w:val="00072817"/>
    <w:rsid w:val="000778F4"/>
    <w:rsid w:val="00083699"/>
    <w:rsid w:val="00083935"/>
    <w:rsid w:val="00090578"/>
    <w:rsid w:val="000905F0"/>
    <w:rsid w:val="000A054A"/>
    <w:rsid w:val="000A2464"/>
    <w:rsid w:val="000B0E05"/>
    <w:rsid w:val="000B49CD"/>
    <w:rsid w:val="000B5528"/>
    <w:rsid w:val="000C2866"/>
    <w:rsid w:val="000D41F6"/>
    <w:rsid w:val="000D63AB"/>
    <w:rsid w:val="000E1054"/>
    <w:rsid w:val="000E2922"/>
    <w:rsid w:val="000E4728"/>
    <w:rsid w:val="000E7E2F"/>
    <w:rsid w:val="00101589"/>
    <w:rsid w:val="00102BA1"/>
    <w:rsid w:val="00103D93"/>
    <w:rsid w:val="00104405"/>
    <w:rsid w:val="00106057"/>
    <w:rsid w:val="00106AB9"/>
    <w:rsid w:val="0011047F"/>
    <w:rsid w:val="00111BFA"/>
    <w:rsid w:val="00112827"/>
    <w:rsid w:val="00117115"/>
    <w:rsid w:val="00125E85"/>
    <w:rsid w:val="00127991"/>
    <w:rsid w:val="00131869"/>
    <w:rsid w:val="00141795"/>
    <w:rsid w:val="00152545"/>
    <w:rsid w:val="00154D10"/>
    <w:rsid w:val="001564F9"/>
    <w:rsid w:val="00162513"/>
    <w:rsid w:val="001646E1"/>
    <w:rsid w:val="0017012C"/>
    <w:rsid w:val="00171C4F"/>
    <w:rsid w:val="001732D8"/>
    <w:rsid w:val="0017339F"/>
    <w:rsid w:val="001754C6"/>
    <w:rsid w:val="001836F7"/>
    <w:rsid w:val="00183940"/>
    <w:rsid w:val="001872F2"/>
    <w:rsid w:val="00191903"/>
    <w:rsid w:val="001935ED"/>
    <w:rsid w:val="00195634"/>
    <w:rsid w:val="00197436"/>
    <w:rsid w:val="001A0005"/>
    <w:rsid w:val="001A324F"/>
    <w:rsid w:val="001A4F6F"/>
    <w:rsid w:val="001A5804"/>
    <w:rsid w:val="001A6226"/>
    <w:rsid w:val="001A7B62"/>
    <w:rsid w:val="001B008F"/>
    <w:rsid w:val="001B02BC"/>
    <w:rsid w:val="001B4DA4"/>
    <w:rsid w:val="001C2AB6"/>
    <w:rsid w:val="001C574D"/>
    <w:rsid w:val="001C590B"/>
    <w:rsid w:val="001C6798"/>
    <w:rsid w:val="001D4D5B"/>
    <w:rsid w:val="001D5D0F"/>
    <w:rsid w:val="001E3382"/>
    <w:rsid w:val="001F06E8"/>
    <w:rsid w:val="001F1E89"/>
    <w:rsid w:val="001F298F"/>
    <w:rsid w:val="001F72AD"/>
    <w:rsid w:val="0020069B"/>
    <w:rsid w:val="002025A2"/>
    <w:rsid w:val="00202F63"/>
    <w:rsid w:val="002049AC"/>
    <w:rsid w:val="00206B63"/>
    <w:rsid w:val="002071A0"/>
    <w:rsid w:val="00217E26"/>
    <w:rsid w:val="002269FF"/>
    <w:rsid w:val="002304D8"/>
    <w:rsid w:val="00230DDB"/>
    <w:rsid w:val="00233932"/>
    <w:rsid w:val="002346C3"/>
    <w:rsid w:val="0024125B"/>
    <w:rsid w:val="00247AC5"/>
    <w:rsid w:val="00252884"/>
    <w:rsid w:val="00253D8C"/>
    <w:rsid w:val="002542B5"/>
    <w:rsid w:val="00255849"/>
    <w:rsid w:val="00256513"/>
    <w:rsid w:val="00262836"/>
    <w:rsid w:val="00262F78"/>
    <w:rsid w:val="002744E8"/>
    <w:rsid w:val="00291350"/>
    <w:rsid w:val="00293570"/>
    <w:rsid w:val="002A3AD8"/>
    <w:rsid w:val="002A5061"/>
    <w:rsid w:val="002A5184"/>
    <w:rsid w:val="002A7EDF"/>
    <w:rsid w:val="002B2B32"/>
    <w:rsid w:val="002B72B1"/>
    <w:rsid w:val="002C05B9"/>
    <w:rsid w:val="002C3208"/>
    <w:rsid w:val="002C5B65"/>
    <w:rsid w:val="002C7BDC"/>
    <w:rsid w:val="002D2DA0"/>
    <w:rsid w:val="002D3AE3"/>
    <w:rsid w:val="002D5FAC"/>
    <w:rsid w:val="002E1BAF"/>
    <w:rsid w:val="002F761B"/>
    <w:rsid w:val="003018FD"/>
    <w:rsid w:val="00303A42"/>
    <w:rsid w:val="00304814"/>
    <w:rsid w:val="00305B73"/>
    <w:rsid w:val="00310C42"/>
    <w:rsid w:val="00314D1C"/>
    <w:rsid w:val="00317357"/>
    <w:rsid w:val="00317B2E"/>
    <w:rsid w:val="00342541"/>
    <w:rsid w:val="00352082"/>
    <w:rsid w:val="003533B6"/>
    <w:rsid w:val="0035400D"/>
    <w:rsid w:val="003548B4"/>
    <w:rsid w:val="003566D0"/>
    <w:rsid w:val="00361F0B"/>
    <w:rsid w:val="003624D0"/>
    <w:rsid w:val="00362D9F"/>
    <w:rsid w:val="0036448A"/>
    <w:rsid w:val="00364B9C"/>
    <w:rsid w:val="0036592E"/>
    <w:rsid w:val="00370055"/>
    <w:rsid w:val="00374CCD"/>
    <w:rsid w:val="003750BF"/>
    <w:rsid w:val="00375676"/>
    <w:rsid w:val="003769B7"/>
    <w:rsid w:val="00381BF0"/>
    <w:rsid w:val="003839F4"/>
    <w:rsid w:val="00384C6C"/>
    <w:rsid w:val="00391989"/>
    <w:rsid w:val="00391EC7"/>
    <w:rsid w:val="003B7695"/>
    <w:rsid w:val="003C43CF"/>
    <w:rsid w:val="003C4FC7"/>
    <w:rsid w:val="003C50A8"/>
    <w:rsid w:val="003C6F83"/>
    <w:rsid w:val="003D5D73"/>
    <w:rsid w:val="003D6DB8"/>
    <w:rsid w:val="003E15C6"/>
    <w:rsid w:val="003F01AD"/>
    <w:rsid w:val="003F0698"/>
    <w:rsid w:val="004014CB"/>
    <w:rsid w:val="004024F3"/>
    <w:rsid w:val="00402B92"/>
    <w:rsid w:val="00403ACD"/>
    <w:rsid w:val="00403AE9"/>
    <w:rsid w:val="004150FC"/>
    <w:rsid w:val="00417C74"/>
    <w:rsid w:val="004215AB"/>
    <w:rsid w:val="00421946"/>
    <w:rsid w:val="00425D7F"/>
    <w:rsid w:val="004268BD"/>
    <w:rsid w:val="004300AF"/>
    <w:rsid w:val="00431612"/>
    <w:rsid w:val="00435F08"/>
    <w:rsid w:val="004379C0"/>
    <w:rsid w:val="00445E8D"/>
    <w:rsid w:val="00452A87"/>
    <w:rsid w:val="00452FB5"/>
    <w:rsid w:val="00460FE0"/>
    <w:rsid w:val="004656B0"/>
    <w:rsid w:val="00470870"/>
    <w:rsid w:val="004727ED"/>
    <w:rsid w:val="00473AC5"/>
    <w:rsid w:val="00474EF2"/>
    <w:rsid w:val="00481694"/>
    <w:rsid w:val="004821F5"/>
    <w:rsid w:val="004874CA"/>
    <w:rsid w:val="004A25CA"/>
    <w:rsid w:val="004A3834"/>
    <w:rsid w:val="004A54E4"/>
    <w:rsid w:val="004A5AD7"/>
    <w:rsid w:val="004A6EB0"/>
    <w:rsid w:val="004B0C7E"/>
    <w:rsid w:val="004B664E"/>
    <w:rsid w:val="004C3DC7"/>
    <w:rsid w:val="004C5CFA"/>
    <w:rsid w:val="004D18F5"/>
    <w:rsid w:val="004D594C"/>
    <w:rsid w:val="004E2677"/>
    <w:rsid w:val="004E405C"/>
    <w:rsid w:val="004F41EE"/>
    <w:rsid w:val="00504C0F"/>
    <w:rsid w:val="005165FD"/>
    <w:rsid w:val="00524F72"/>
    <w:rsid w:val="00532BCF"/>
    <w:rsid w:val="005404DB"/>
    <w:rsid w:val="00540F3F"/>
    <w:rsid w:val="0054538B"/>
    <w:rsid w:val="0054622D"/>
    <w:rsid w:val="00550CD3"/>
    <w:rsid w:val="0056214B"/>
    <w:rsid w:val="00563364"/>
    <w:rsid w:val="00570A19"/>
    <w:rsid w:val="005764D3"/>
    <w:rsid w:val="005765A3"/>
    <w:rsid w:val="005766A6"/>
    <w:rsid w:val="00592D2C"/>
    <w:rsid w:val="00597C92"/>
    <w:rsid w:val="005A1005"/>
    <w:rsid w:val="005A167D"/>
    <w:rsid w:val="005A37BF"/>
    <w:rsid w:val="005B25FE"/>
    <w:rsid w:val="005B7D98"/>
    <w:rsid w:val="005C0516"/>
    <w:rsid w:val="005C1F23"/>
    <w:rsid w:val="005C1FDC"/>
    <w:rsid w:val="005C5F8B"/>
    <w:rsid w:val="005D02C6"/>
    <w:rsid w:val="005D7781"/>
    <w:rsid w:val="005D7B07"/>
    <w:rsid w:val="005D7C56"/>
    <w:rsid w:val="005E0FDA"/>
    <w:rsid w:val="005E2CC9"/>
    <w:rsid w:val="005F3045"/>
    <w:rsid w:val="005F73E6"/>
    <w:rsid w:val="006010E9"/>
    <w:rsid w:val="00604F11"/>
    <w:rsid w:val="00607FF7"/>
    <w:rsid w:val="006124FF"/>
    <w:rsid w:val="00613D18"/>
    <w:rsid w:val="00614233"/>
    <w:rsid w:val="00616419"/>
    <w:rsid w:val="006200A7"/>
    <w:rsid w:val="00630189"/>
    <w:rsid w:val="00630383"/>
    <w:rsid w:val="0063275A"/>
    <w:rsid w:val="0063287B"/>
    <w:rsid w:val="00633A9E"/>
    <w:rsid w:val="00635F01"/>
    <w:rsid w:val="0064530F"/>
    <w:rsid w:val="00647B87"/>
    <w:rsid w:val="00660798"/>
    <w:rsid w:val="00662082"/>
    <w:rsid w:val="00663783"/>
    <w:rsid w:val="0066550E"/>
    <w:rsid w:val="00672DBC"/>
    <w:rsid w:val="006745E9"/>
    <w:rsid w:val="00676D8D"/>
    <w:rsid w:val="00680981"/>
    <w:rsid w:val="006853B9"/>
    <w:rsid w:val="006A07A9"/>
    <w:rsid w:val="006A0D88"/>
    <w:rsid w:val="006A2BC5"/>
    <w:rsid w:val="006A2F16"/>
    <w:rsid w:val="006B07B5"/>
    <w:rsid w:val="006C2AB7"/>
    <w:rsid w:val="006C63F3"/>
    <w:rsid w:val="006C65FB"/>
    <w:rsid w:val="006D0B1D"/>
    <w:rsid w:val="006D1DBA"/>
    <w:rsid w:val="006D34E8"/>
    <w:rsid w:val="006D4B8F"/>
    <w:rsid w:val="006D614D"/>
    <w:rsid w:val="006D631C"/>
    <w:rsid w:val="006E44CC"/>
    <w:rsid w:val="006F7131"/>
    <w:rsid w:val="0070150E"/>
    <w:rsid w:val="00703B93"/>
    <w:rsid w:val="007042DA"/>
    <w:rsid w:val="00705157"/>
    <w:rsid w:val="00714105"/>
    <w:rsid w:val="007179FD"/>
    <w:rsid w:val="00720F4A"/>
    <w:rsid w:val="007239A9"/>
    <w:rsid w:val="00727D3A"/>
    <w:rsid w:val="00732430"/>
    <w:rsid w:val="00732D9A"/>
    <w:rsid w:val="00734A8E"/>
    <w:rsid w:val="00741806"/>
    <w:rsid w:val="00742E86"/>
    <w:rsid w:val="0074360E"/>
    <w:rsid w:val="007513B0"/>
    <w:rsid w:val="00751864"/>
    <w:rsid w:val="00754012"/>
    <w:rsid w:val="00766B6A"/>
    <w:rsid w:val="00771691"/>
    <w:rsid w:val="00773268"/>
    <w:rsid w:val="0077426D"/>
    <w:rsid w:val="007908A4"/>
    <w:rsid w:val="00794E06"/>
    <w:rsid w:val="00795006"/>
    <w:rsid w:val="007B17BF"/>
    <w:rsid w:val="007B5A02"/>
    <w:rsid w:val="007B72FF"/>
    <w:rsid w:val="007B7AAC"/>
    <w:rsid w:val="007C5D40"/>
    <w:rsid w:val="007C5EBF"/>
    <w:rsid w:val="007C6527"/>
    <w:rsid w:val="007D07EC"/>
    <w:rsid w:val="007D2D67"/>
    <w:rsid w:val="007D6852"/>
    <w:rsid w:val="007E344A"/>
    <w:rsid w:val="007E7EDE"/>
    <w:rsid w:val="00804346"/>
    <w:rsid w:val="00805B84"/>
    <w:rsid w:val="00806A66"/>
    <w:rsid w:val="0081066C"/>
    <w:rsid w:val="008143A5"/>
    <w:rsid w:val="00814787"/>
    <w:rsid w:val="0081567F"/>
    <w:rsid w:val="0081577E"/>
    <w:rsid w:val="0083151E"/>
    <w:rsid w:val="00831B25"/>
    <w:rsid w:val="008372E8"/>
    <w:rsid w:val="008400ED"/>
    <w:rsid w:val="008451F9"/>
    <w:rsid w:val="0085156C"/>
    <w:rsid w:val="00855111"/>
    <w:rsid w:val="00855256"/>
    <w:rsid w:val="0085708E"/>
    <w:rsid w:val="00857239"/>
    <w:rsid w:val="00870D0A"/>
    <w:rsid w:val="00875226"/>
    <w:rsid w:val="00876182"/>
    <w:rsid w:val="008851B7"/>
    <w:rsid w:val="00886AD2"/>
    <w:rsid w:val="00897D4A"/>
    <w:rsid w:val="008B33E6"/>
    <w:rsid w:val="008B5DBD"/>
    <w:rsid w:val="008B729D"/>
    <w:rsid w:val="008C129E"/>
    <w:rsid w:val="008C1697"/>
    <w:rsid w:val="008C5D4A"/>
    <w:rsid w:val="008D398B"/>
    <w:rsid w:val="008D4EAA"/>
    <w:rsid w:val="008D4F14"/>
    <w:rsid w:val="008E0319"/>
    <w:rsid w:val="008E0C81"/>
    <w:rsid w:val="008E31F3"/>
    <w:rsid w:val="008E427D"/>
    <w:rsid w:val="008F4725"/>
    <w:rsid w:val="00905249"/>
    <w:rsid w:val="0091168B"/>
    <w:rsid w:val="0091173D"/>
    <w:rsid w:val="00911C9C"/>
    <w:rsid w:val="00912E58"/>
    <w:rsid w:val="00915C22"/>
    <w:rsid w:val="00917713"/>
    <w:rsid w:val="00923D7C"/>
    <w:rsid w:val="0092431C"/>
    <w:rsid w:val="00924914"/>
    <w:rsid w:val="00932ECC"/>
    <w:rsid w:val="009338C8"/>
    <w:rsid w:val="009346AF"/>
    <w:rsid w:val="009348E8"/>
    <w:rsid w:val="00937075"/>
    <w:rsid w:val="009379CE"/>
    <w:rsid w:val="009421FD"/>
    <w:rsid w:val="009425AA"/>
    <w:rsid w:val="00945207"/>
    <w:rsid w:val="00946BFE"/>
    <w:rsid w:val="00953FC7"/>
    <w:rsid w:val="00956D8E"/>
    <w:rsid w:val="009623DC"/>
    <w:rsid w:val="0096319E"/>
    <w:rsid w:val="00965FC7"/>
    <w:rsid w:val="0097138E"/>
    <w:rsid w:val="00984A9F"/>
    <w:rsid w:val="00986C35"/>
    <w:rsid w:val="0099681E"/>
    <w:rsid w:val="009A2B0D"/>
    <w:rsid w:val="009A2EC7"/>
    <w:rsid w:val="009A46EB"/>
    <w:rsid w:val="009A609E"/>
    <w:rsid w:val="009A6A16"/>
    <w:rsid w:val="009B1158"/>
    <w:rsid w:val="009B7124"/>
    <w:rsid w:val="009C3E37"/>
    <w:rsid w:val="009C7378"/>
    <w:rsid w:val="009E0435"/>
    <w:rsid w:val="009E2467"/>
    <w:rsid w:val="009E42C9"/>
    <w:rsid w:val="009F5684"/>
    <w:rsid w:val="00A01171"/>
    <w:rsid w:val="00A02615"/>
    <w:rsid w:val="00A032F9"/>
    <w:rsid w:val="00A12C29"/>
    <w:rsid w:val="00A23239"/>
    <w:rsid w:val="00A25191"/>
    <w:rsid w:val="00A312C9"/>
    <w:rsid w:val="00A3381A"/>
    <w:rsid w:val="00A33E86"/>
    <w:rsid w:val="00A3465F"/>
    <w:rsid w:val="00A34BE7"/>
    <w:rsid w:val="00A43006"/>
    <w:rsid w:val="00A532BC"/>
    <w:rsid w:val="00A532F7"/>
    <w:rsid w:val="00A70CE1"/>
    <w:rsid w:val="00A72E7F"/>
    <w:rsid w:val="00A73114"/>
    <w:rsid w:val="00A80B4B"/>
    <w:rsid w:val="00A82B8C"/>
    <w:rsid w:val="00A9101E"/>
    <w:rsid w:val="00A91F6F"/>
    <w:rsid w:val="00A93393"/>
    <w:rsid w:val="00AA315C"/>
    <w:rsid w:val="00AA3B6B"/>
    <w:rsid w:val="00AA4730"/>
    <w:rsid w:val="00AA5499"/>
    <w:rsid w:val="00AA73C9"/>
    <w:rsid w:val="00AB5655"/>
    <w:rsid w:val="00AB611F"/>
    <w:rsid w:val="00AB666E"/>
    <w:rsid w:val="00AC37FD"/>
    <w:rsid w:val="00AC5913"/>
    <w:rsid w:val="00AC60F8"/>
    <w:rsid w:val="00AC630D"/>
    <w:rsid w:val="00AD0475"/>
    <w:rsid w:val="00AD4E88"/>
    <w:rsid w:val="00AD60E8"/>
    <w:rsid w:val="00AF0956"/>
    <w:rsid w:val="00AF5E80"/>
    <w:rsid w:val="00AF632D"/>
    <w:rsid w:val="00B00ED4"/>
    <w:rsid w:val="00B066B8"/>
    <w:rsid w:val="00B1238E"/>
    <w:rsid w:val="00B140EB"/>
    <w:rsid w:val="00B234A2"/>
    <w:rsid w:val="00B26DDA"/>
    <w:rsid w:val="00B33F0E"/>
    <w:rsid w:val="00B3403D"/>
    <w:rsid w:val="00B35201"/>
    <w:rsid w:val="00B36BD0"/>
    <w:rsid w:val="00B404DF"/>
    <w:rsid w:val="00B41D68"/>
    <w:rsid w:val="00B43766"/>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3788"/>
    <w:rsid w:val="00B6512B"/>
    <w:rsid w:val="00B70CAC"/>
    <w:rsid w:val="00B77D64"/>
    <w:rsid w:val="00B82857"/>
    <w:rsid w:val="00B90D19"/>
    <w:rsid w:val="00B9114E"/>
    <w:rsid w:val="00B953B6"/>
    <w:rsid w:val="00B96DF4"/>
    <w:rsid w:val="00BA02E1"/>
    <w:rsid w:val="00BB1100"/>
    <w:rsid w:val="00BB1C0E"/>
    <w:rsid w:val="00BB61E4"/>
    <w:rsid w:val="00BB72F3"/>
    <w:rsid w:val="00BB7BF2"/>
    <w:rsid w:val="00BC0DF7"/>
    <w:rsid w:val="00BC198D"/>
    <w:rsid w:val="00BC4D98"/>
    <w:rsid w:val="00BD4687"/>
    <w:rsid w:val="00BD75EF"/>
    <w:rsid w:val="00BE36DF"/>
    <w:rsid w:val="00BE3C0B"/>
    <w:rsid w:val="00BE4448"/>
    <w:rsid w:val="00BE5922"/>
    <w:rsid w:val="00BF61D8"/>
    <w:rsid w:val="00C05686"/>
    <w:rsid w:val="00C15D1A"/>
    <w:rsid w:val="00C23A9C"/>
    <w:rsid w:val="00C25769"/>
    <w:rsid w:val="00C30B2F"/>
    <w:rsid w:val="00C31286"/>
    <w:rsid w:val="00C45F0C"/>
    <w:rsid w:val="00C5071A"/>
    <w:rsid w:val="00C50E3D"/>
    <w:rsid w:val="00C53EC4"/>
    <w:rsid w:val="00C577C3"/>
    <w:rsid w:val="00C603DD"/>
    <w:rsid w:val="00C63AFF"/>
    <w:rsid w:val="00C66EF4"/>
    <w:rsid w:val="00C717A8"/>
    <w:rsid w:val="00C72AD3"/>
    <w:rsid w:val="00C80137"/>
    <w:rsid w:val="00C85554"/>
    <w:rsid w:val="00C86B6D"/>
    <w:rsid w:val="00C966B8"/>
    <w:rsid w:val="00CA26EE"/>
    <w:rsid w:val="00CA6B32"/>
    <w:rsid w:val="00CB0609"/>
    <w:rsid w:val="00CB48FC"/>
    <w:rsid w:val="00CB7BC3"/>
    <w:rsid w:val="00CC1F51"/>
    <w:rsid w:val="00CC200F"/>
    <w:rsid w:val="00CC5778"/>
    <w:rsid w:val="00CE1200"/>
    <w:rsid w:val="00CE40C3"/>
    <w:rsid w:val="00CE7B02"/>
    <w:rsid w:val="00CF0445"/>
    <w:rsid w:val="00CF2C52"/>
    <w:rsid w:val="00D02E86"/>
    <w:rsid w:val="00D07311"/>
    <w:rsid w:val="00D212AA"/>
    <w:rsid w:val="00D27D0C"/>
    <w:rsid w:val="00D35710"/>
    <w:rsid w:val="00D375D7"/>
    <w:rsid w:val="00D403D2"/>
    <w:rsid w:val="00D446D9"/>
    <w:rsid w:val="00D4592D"/>
    <w:rsid w:val="00D45CD7"/>
    <w:rsid w:val="00D4779F"/>
    <w:rsid w:val="00D505AA"/>
    <w:rsid w:val="00D5189F"/>
    <w:rsid w:val="00D51F98"/>
    <w:rsid w:val="00D52A80"/>
    <w:rsid w:val="00D5550B"/>
    <w:rsid w:val="00D55712"/>
    <w:rsid w:val="00D608B4"/>
    <w:rsid w:val="00D637CB"/>
    <w:rsid w:val="00D64943"/>
    <w:rsid w:val="00D70871"/>
    <w:rsid w:val="00D72BAF"/>
    <w:rsid w:val="00D73458"/>
    <w:rsid w:val="00D74627"/>
    <w:rsid w:val="00D77421"/>
    <w:rsid w:val="00D81162"/>
    <w:rsid w:val="00D813D6"/>
    <w:rsid w:val="00D8693D"/>
    <w:rsid w:val="00D87D2F"/>
    <w:rsid w:val="00D93341"/>
    <w:rsid w:val="00D94304"/>
    <w:rsid w:val="00D944E1"/>
    <w:rsid w:val="00D959C8"/>
    <w:rsid w:val="00DA0D6D"/>
    <w:rsid w:val="00DA24A1"/>
    <w:rsid w:val="00DA49B9"/>
    <w:rsid w:val="00DA7E52"/>
    <w:rsid w:val="00DB1E2F"/>
    <w:rsid w:val="00DB76B3"/>
    <w:rsid w:val="00DC32F7"/>
    <w:rsid w:val="00DC43F6"/>
    <w:rsid w:val="00DC44F6"/>
    <w:rsid w:val="00DC4633"/>
    <w:rsid w:val="00DC55F1"/>
    <w:rsid w:val="00DC7B8F"/>
    <w:rsid w:val="00DC7C47"/>
    <w:rsid w:val="00DD2024"/>
    <w:rsid w:val="00DD2672"/>
    <w:rsid w:val="00DD7081"/>
    <w:rsid w:val="00DE2DA8"/>
    <w:rsid w:val="00DE2EDE"/>
    <w:rsid w:val="00DE409A"/>
    <w:rsid w:val="00DE69FC"/>
    <w:rsid w:val="00DF409A"/>
    <w:rsid w:val="00DF4DD9"/>
    <w:rsid w:val="00DF55C3"/>
    <w:rsid w:val="00DF687C"/>
    <w:rsid w:val="00E02BF3"/>
    <w:rsid w:val="00E14828"/>
    <w:rsid w:val="00E15B6E"/>
    <w:rsid w:val="00E21696"/>
    <w:rsid w:val="00E2277C"/>
    <w:rsid w:val="00E241D8"/>
    <w:rsid w:val="00E2580F"/>
    <w:rsid w:val="00E32ABF"/>
    <w:rsid w:val="00E37293"/>
    <w:rsid w:val="00E42C1E"/>
    <w:rsid w:val="00E4795A"/>
    <w:rsid w:val="00E50C5C"/>
    <w:rsid w:val="00E54FE6"/>
    <w:rsid w:val="00E55FF0"/>
    <w:rsid w:val="00E60542"/>
    <w:rsid w:val="00E7258B"/>
    <w:rsid w:val="00E77900"/>
    <w:rsid w:val="00E84DF7"/>
    <w:rsid w:val="00E8566E"/>
    <w:rsid w:val="00E8569E"/>
    <w:rsid w:val="00E86A35"/>
    <w:rsid w:val="00E870FD"/>
    <w:rsid w:val="00E936C7"/>
    <w:rsid w:val="00E95EEB"/>
    <w:rsid w:val="00EA01CC"/>
    <w:rsid w:val="00EA2520"/>
    <w:rsid w:val="00EA272A"/>
    <w:rsid w:val="00EA38E3"/>
    <w:rsid w:val="00EB0C6A"/>
    <w:rsid w:val="00EB3C83"/>
    <w:rsid w:val="00EB77B0"/>
    <w:rsid w:val="00EC28F6"/>
    <w:rsid w:val="00EC4B0D"/>
    <w:rsid w:val="00ED0ED3"/>
    <w:rsid w:val="00ED2942"/>
    <w:rsid w:val="00ED2B92"/>
    <w:rsid w:val="00EF2281"/>
    <w:rsid w:val="00EF2ABB"/>
    <w:rsid w:val="00EF2DEC"/>
    <w:rsid w:val="00EF2E81"/>
    <w:rsid w:val="00EF4599"/>
    <w:rsid w:val="00EF5B3F"/>
    <w:rsid w:val="00EF6A6E"/>
    <w:rsid w:val="00EF707E"/>
    <w:rsid w:val="00F038D9"/>
    <w:rsid w:val="00F059B1"/>
    <w:rsid w:val="00F17DA6"/>
    <w:rsid w:val="00F2504D"/>
    <w:rsid w:val="00F27E44"/>
    <w:rsid w:val="00F3547B"/>
    <w:rsid w:val="00F40574"/>
    <w:rsid w:val="00F41A2D"/>
    <w:rsid w:val="00F429BD"/>
    <w:rsid w:val="00F45FE4"/>
    <w:rsid w:val="00F47555"/>
    <w:rsid w:val="00F648C8"/>
    <w:rsid w:val="00F679D4"/>
    <w:rsid w:val="00F70CD9"/>
    <w:rsid w:val="00F748D2"/>
    <w:rsid w:val="00F764CB"/>
    <w:rsid w:val="00F8240C"/>
    <w:rsid w:val="00F82FC2"/>
    <w:rsid w:val="00F87D33"/>
    <w:rsid w:val="00F92CC7"/>
    <w:rsid w:val="00F93014"/>
    <w:rsid w:val="00F964B8"/>
    <w:rsid w:val="00FA6CF1"/>
    <w:rsid w:val="00FA78EC"/>
    <w:rsid w:val="00FB01DC"/>
    <w:rsid w:val="00FB60EC"/>
    <w:rsid w:val="00FC465D"/>
    <w:rsid w:val="00FC4B1F"/>
    <w:rsid w:val="00FC4F18"/>
    <w:rsid w:val="00FD29B9"/>
    <w:rsid w:val="00FE2061"/>
    <w:rsid w:val="00FE4B63"/>
    <w:rsid w:val="00FF1CE6"/>
    <w:rsid w:val="00FF2346"/>
    <w:rsid w:val="038AB047"/>
    <w:rsid w:val="0E33D060"/>
    <w:rsid w:val="12D2F0CD"/>
    <w:rsid w:val="141CC19A"/>
    <w:rsid w:val="17113D79"/>
    <w:rsid w:val="19A50D54"/>
    <w:rsid w:val="1CC27A2C"/>
    <w:rsid w:val="2605AB09"/>
    <w:rsid w:val="27AD6A53"/>
    <w:rsid w:val="2A11AD8B"/>
    <w:rsid w:val="2D3B1BAB"/>
    <w:rsid w:val="2DA8E20E"/>
    <w:rsid w:val="37D1239C"/>
    <w:rsid w:val="475BE0B1"/>
    <w:rsid w:val="4F001A40"/>
    <w:rsid w:val="56A27A57"/>
    <w:rsid w:val="59D08274"/>
    <w:rsid w:val="5CFDC086"/>
    <w:rsid w:val="5D857706"/>
    <w:rsid w:val="6296E1ED"/>
    <w:rsid w:val="68A9D6D1"/>
    <w:rsid w:val="6BB20695"/>
    <w:rsid w:val="73A932B1"/>
    <w:rsid w:val="771D4E7D"/>
    <w:rsid w:val="7B6453F7"/>
    <w:rsid w:val="7C66DC0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0995"/>
  <w15:docId w15:val="{7B697A28-4A4C-4D1B-B732-36AAD9D4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A49B9"/>
    <w:pPr>
      <w:ind w:left="720"/>
      <w:contextualSpacing/>
    </w:pPr>
    <w:rPr>
      <w:rFonts w:ascii="Univers" w:hAnsi="Univers"/>
      <w:sz w:val="20"/>
      <w:lang w:val="nl-NL" w:eastAsia="nl-NL"/>
    </w:rPr>
  </w:style>
  <w:style w:type="table" w:styleId="Lentelstinklelis">
    <w:name w:val="Table Grid"/>
    <w:basedOn w:val="prastojilente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30383"/>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630383"/>
    <w:rPr>
      <w:color w:val="0000FF"/>
      <w:u w:val="single"/>
    </w:rPr>
  </w:style>
  <w:style w:type="paragraph" w:styleId="Antrats">
    <w:name w:val="header"/>
    <w:basedOn w:val="prastasis"/>
    <w:link w:val="AntratsDiagrama"/>
    <w:rsid w:val="007D2D67"/>
    <w:pPr>
      <w:tabs>
        <w:tab w:val="center" w:pos="4680"/>
        <w:tab w:val="right" w:pos="9360"/>
      </w:tabs>
    </w:pPr>
  </w:style>
  <w:style w:type="character" w:customStyle="1" w:styleId="AntratsDiagrama">
    <w:name w:val="Antraštės Diagrama"/>
    <w:basedOn w:val="Numatytasispastraiposriftas"/>
    <w:link w:val="Antrats"/>
    <w:rsid w:val="00E60542"/>
  </w:style>
  <w:style w:type="paragraph" w:styleId="Porat">
    <w:name w:val="footer"/>
    <w:basedOn w:val="prastasis"/>
    <w:link w:val="PoratDiagrama"/>
    <w:rsid w:val="007D2D67"/>
    <w:pPr>
      <w:tabs>
        <w:tab w:val="center" w:pos="4680"/>
        <w:tab w:val="right" w:pos="9360"/>
      </w:tabs>
    </w:pPr>
  </w:style>
  <w:style w:type="character" w:customStyle="1" w:styleId="PoratDiagrama">
    <w:name w:val="Poraštė Diagrama"/>
    <w:basedOn w:val="Numatytasispastraiposriftas"/>
    <w:link w:val="Porat"/>
    <w:rsid w:val="00E60542"/>
  </w:style>
  <w:style w:type="character" w:styleId="Komentaronuoroda">
    <w:name w:val="annotation reference"/>
    <w:basedOn w:val="Numatytasispastraiposriftas"/>
    <w:rsid w:val="00FA6CF1"/>
    <w:rPr>
      <w:sz w:val="16"/>
      <w:szCs w:val="16"/>
    </w:rPr>
  </w:style>
  <w:style w:type="paragraph" w:styleId="Komentarotekstas">
    <w:name w:val="annotation text"/>
    <w:basedOn w:val="prastasis"/>
    <w:link w:val="KomentarotekstasDiagrama"/>
    <w:rsid w:val="00FA6CF1"/>
    <w:rPr>
      <w:sz w:val="20"/>
    </w:rPr>
  </w:style>
  <w:style w:type="character" w:customStyle="1" w:styleId="KomentarotekstasDiagrama">
    <w:name w:val="Komentaro tekstas Diagrama"/>
    <w:basedOn w:val="Numatytasispastraiposriftas"/>
    <w:link w:val="Komentarotekstas"/>
    <w:rsid w:val="00FA6CF1"/>
    <w:rPr>
      <w:sz w:val="20"/>
    </w:rPr>
  </w:style>
  <w:style w:type="character" w:customStyle="1" w:styleId="cf01">
    <w:name w:val="cf01"/>
    <w:basedOn w:val="Numatytasispastraiposriftas"/>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Komentarotema">
    <w:name w:val="annotation subject"/>
    <w:basedOn w:val="Komentarotekstas"/>
    <w:next w:val="Komentarotekstas"/>
    <w:link w:val="KomentarotemaDiagrama"/>
    <w:rsid w:val="00006E3D"/>
    <w:rPr>
      <w:b/>
      <w:bCs/>
    </w:rPr>
  </w:style>
  <w:style w:type="character" w:customStyle="1" w:styleId="KomentarotemaDiagrama">
    <w:name w:val="Komentaro tema Diagrama"/>
    <w:basedOn w:val="KomentarotekstasDiagrama"/>
    <w:link w:val="Komentarotema"/>
    <w:rsid w:val="00006E3D"/>
    <w:rPr>
      <w:b/>
      <w:bCs/>
      <w:sz w:val="20"/>
    </w:rPr>
  </w:style>
  <w:style w:type="paragraph" w:customStyle="1" w:styleId="pf0">
    <w:name w:val="pf0"/>
    <w:basedOn w:val="prastasis"/>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Puslapioinaostekstas">
    <w:name w:val="footnote text"/>
    <w:basedOn w:val="prastasis"/>
    <w:link w:val="PuslapioinaostekstasDiagrama"/>
    <w:rsid w:val="00C717A8"/>
    <w:pPr>
      <w:widowControl w:val="0"/>
      <w:suppressAutoHyphens/>
      <w:autoSpaceDE w:val="0"/>
    </w:pPr>
    <w:rPr>
      <w:sz w:val="20"/>
      <w:lang w:eastAsia="zh-CN"/>
    </w:rPr>
  </w:style>
  <w:style w:type="character" w:customStyle="1" w:styleId="PuslapioinaostekstasDiagrama">
    <w:name w:val="Puslapio išnašos tekstas Diagrama"/>
    <w:basedOn w:val="Numatytasispastraiposriftas"/>
    <w:link w:val="Puslapioinaostekstas"/>
    <w:rsid w:val="00C717A8"/>
    <w:rPr>
      <w:sz w:val="20"/>
      <w:lang w:eastAsia="zh-CN"/>
    </w:rPr>
  </w:style>
  <w:style w:type="character" w:customStyle="1" w:styleId="WW8Num10z0">
    <w:name w:val="WW8Num10z0"/>
    <w:qFormat/>
    <w:rsid w:val="009348E8"/>
  </w:style>
  <w:style w:type="character" w:styleId="Neapdorotaspaminjimas">
    <w:name w:val="Unresolved Mention"/>
    <w:basedOn w:val="Numatytasispastraiposriftas"/>
    <w:uiPriority w:val="99"/>
    <w:semiHidden/>
    <w:unhideWhenUsed/>
    <w:rsid w:val="00DC44F6"/>
    <w:rPr>
      <w:color w:val="605E5C"/>
      <w:shd w:val="clear" w:color="auto" w:fill="E1DFDD"/>
    </w:rPr>
  </w:style>
  <w:style w:type="character" w:styleId="Perirtashipersaitas">
    <w:name w:val="FollowedHyperlink"/>
    <w:basedOn w:val="Numatytasispastraiposriftas"/>
    <w:rsid w:val="007B7AAC"/>
    <w:rPr>
      <w:color w:val="800080" w:themeColor="followedHyperlink"/>
      <w:u w:val="single"/>
    </w:rPr>
  </w:style>
  <w:style w:type="paragraph" w:styleId="Pataisymai">
    <w:name w:val="Revision"/>
    <w:hidden/>
    <w:rsid w:val="009A4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02013R1308-20240513" TargetMode="External"/><Relationship Id="rId18" Type="http://schemas.openxmlformats.org/officeDocument/2006/relationships/hyperlink" Target="https://e-seimas.lrs.lt/portal/legalAct/lt/TAD/TAIS.135527/asr" TargetMode="External"/><Relationship Id="rId26" Type="http://schemas.openxmlformats.org/officeDocument/2006/relationships/hyperlink" Target="https://eur-lex.europa.eu/legal-content/LT/TXT/?uri=CELEX:02014R0251-20231208" TargetMode="External"/><Relationship Id="rId39" Type="http://schemas.openxmlformats.org/officeDocument/2006/relationships/header" Target="header2.xml"/><Relationship Id="rId21" Type="http://schemas.openxmlformats.org/officeDocument/2006/relationships/hyperlink" Target="https://e-seimas.lrs.lt/portal/legalAct/lt/TAD/TAIS.197926/asr" TargetMode="External"/><Relationship Id="rId34" Type="http://schemas.openxmlformats.org/officeDocument/2006/relationships/hyperlink" Target="https://e-seimas.lrs.lt/portal/legalAct/lt/TAD/7dddc520574411eaac56f6e40072e018" TargetMode="External"/><Relationship Id="rId42" Type="http://schemas.openxmlformats.org/officeDocument/2006/relationships/header" Target="header3.xm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e-seimas.lrs.lt/portal/legalAct/lt/TAD/TAIS.208863/asr"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lrs.lt/portal/legalAct/lt/TAD/TAIS.17752/asr" TargetMode="External"/><Relationship Id="rId29" Type="http://schemas.openxmlformats.org/officeDocument/2006/relationships/hyperlink" Target="https://e-seimas.lrs.lt/portal/legalAct/lt/TAD/TAIS.135527/asr" TargetMode="External"/><Relationship Id="rId11" Type="http://schemas.openxmlformats.org/officeDocument/2006/relationships/hyperlink" Target="https://e-seimas.lrs.lt/portal/legalAct/lt/TAD/TAIS.17752/asr" TargetMode="External"/><Relationship Id="rId24" Type="http://schemas.openxmlformats.org/officeDocument/2006/relationships/hyperlink" Target="https://eur-lex.europa.eu/legal-content/LT/TXT/?uri=CELEX:02019R0787-20240513" TargetMode="External"/><Relationship Id="rId32" Type="http://schemas.openxmlformats.org/officeDocument/2006/relationships/hyperlink" Target="https://e-seimas.lrs.lt/portal/legalAct/lt/TAD/TAIS.197926/asr" TargetMode="External"/><Relationship Id="rId37" Type="http://schemas.openxmlformats.org/officeDocument/2006/relationships/hyperlink" Target="https://e-seimas.lrs.lt/portal/legalAct/lt/TAD/TAIS.136444/asr" TargetMode="External"/><Relationship Id="rId40" Type="http://schemas.openxmlformats.org/officeDocument/2006/relationships/footer" Target="footer1.xml"/><Relationship Id="rId45" Type="http://schemas.openxmlformats.org/officeDocument/2006/relationships/hyperlink" Target="https://eur-lex.europa.eu/legal-content/LT/TXT/?uri=CELEX:02013R1308-20240513" TargetMode="External"/><Relationship Id="rId53" Type="http://schemas.openxmlformats.org/officeDocument/2006/relationships/hyperlink" Target="https://e-seimas.lrs.lt/portal/legalAct/lt/TAD/TAIS.209177/asr" TargetMode="External"/><Relationship Id="rId58" Type="http://schemas.openxmlformats.org/officeDocument/2006/relationships/hyperlink" Target="https://e-seimas.lrs.lt/portal/legalAct/lt/TAD/9385d200b32911e59010bea026bdb259/asr"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e-seimas.lrs.lt/portal/legalAct/lt/TAD/TAIS.208863/asr" TargetMode="External"/><Relationship Id="rId14" Type="http://schemas.openxmlformats.org/officeDocument/2006/relationships/hyperlink" Target="https://eur-lex.europa.eu/legal-content/LT/TXT/?uri=CELEX:02019R0934-20220208" TargetMode="External"/><Relationship Id="rId22" Type="http://schemas.openxmlformats.org/officeDocument/2006/relationships/hyperlink" Target="https://e-seimas.lrs.lt/portal/legalAct/lt/TAD/9385d200b32911e59010bea026bdb259/asr" TargetMode="External"/><Relationship Id="rId27" Type="http://schemas.openxmlformats.org/officeDocument/2006/relationships/hyperlink" Target="https://e-seimas.lrs.lt/portal/legalAct/lt/TAD/TAIS.17752/asr" TargetMode="External"/><Relationship Id="rId30" Type="http://schemas.openxmlformats.org/officeDocument/2006/relationships/hyperlink" Target="https://e-seimas.lrs.lt/portal/legalAct/lt/TAD/TAIS.208863/asr" TargetMode="External"/><Relationship Id="rId35" Type="http://schemas.openxmlformats.org/officeDocument/2006/relationships/hyperlink" Target="https://e-seimas.lrs.lt/portal/legalAct/lt/TAD/TAIS.17752/asr" TargetMode="External"/><Relationship Id="rId43" Type="http://schemas.openxmlformats.org/officeDocument/2006/relationships/footer" Target="footer3.xml"/><Relationship Id="rId48" Type="http://schemas.microsoft.com/office/2011/relationships/commentsExtended" Target="commentsExtended.xml"/><Relationship Id="rId56" Type="http://schemas.openxmlformats.org/officeDocument/2006/relationships/hyperlink" Target="https://e-seimas.lrs.lt/portal/legalAct/lt/TAD/TAIS.216462/asr" TargetMode="External"/><Relationship Id="rId8" Type="http://schemas.openxmlformats.org/officeDocument/2006/relationships/webSettings" Target="webSettings.xml"/><Relationship Id="rId51" Type="http://schemas.openxmlformats.org/officeDocument/2006/relationships/hyperlink" Target="https://eur-lex.europa.eu/legal-content/LT/TXT/?uri=CELEX:02014R0251-20231208" TargetMode="External"/><Relationship Id="rId3" Type="http://schemas.openxmlformats.org/officeDocument/2006/relationships/customXml" Target="../customXml/item3.xml"/><Relationship Id="rId12" Type="http://schemas.openxmlformats.org/officeDocument/2006/relationships/hyperlink" Target="https://eur-lex.europa.eu/legal-content/LT/TXT/?uri=CELEX:02019R0787-20240513" TargetMode="External"/><Relationship Id="rId17" Type="http://schemas.openxmlformats.org/officeDocument/2006/relationships/hyperlink" Target="https://e-seimas.lrs.lt/portal/legalAct/lt/TAD/TAIS.209177/asr" TargetMode="External"/><Relationship Id="rId25" Type="http://schemas.openxmlformats.org/officeDocument/2006/relationships/hyperlink" Target="https://eur-lex.europa.eu/legal-content/LT/TXT/?uri=CELEX:02013R1308-20240513" TargetMode="External"/><Relationship Id="rId33" Type="http://schemas.openxmlformats.org/officeDocument/2006/relationships/hyperlink" Target="https://e-seimas.lrs.lt/portal/legalAct/lt/TAD/9385d200b32911e59010bea026bdb259/asr" TargetMode="External"/><Relationship Id="rId38" Type="http://schemas.openxmlformats.org/officeDocument/2006/relationships/header" Target="header1.xml"/><Relationship Id="rId46" Type="http://schemas.openxmlformats.org/officeDocument/2006/relationships/hyperlink" Target="https://eur-lex.europa.eu/legal-content/LT/TXT/?uri=CELEX:02019R0934-20220208" TargetMode="External"/><Relationship Id="rId59" Type="http://schemas.openxmlformats.org/officeDocument/2006/relationships/hyperlink" Target="https://e-seimas.lrs.lt/portal/legalAct/lt/TAD/7dddc520574411eaac56f6e40072e018" TargetMode="External"/><Relationship Id="rId20" Type="http://schemas.openxmlformats.org/officeDocument/2006/relationships/hyperlink" Target="https://e-seimas.lrs.lt/portal/legalAct/lt/TAD/TAIS.216462/asr" TargetMode="External"/><Relationship Id="rId41" Type="http://schemas.openxmlformats.org/officeDocument/2006/relationships/footer" Target="footer2.xml"/><Relationship Id="rId54" Type="http://schemas.openxmlformats.org/officeDocument/2006/relationships/hyperlink" Target="https://e-seimas.lrs.lt/portal/legalAct/lt/TAD/TAIS.135527/asr"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02014R0251-20231208" TargetMode="External"/><Relationship Id="rId23" Type="http://schemas.openxmlformats.org/officeDocument/2006/relationships/hyperlink" Target="https://e-seimas.lrs.lt/portal/legalAct/lt/TAD/7dddc520574411eaac56f6e40072e018" TargetMode="External"/><Relationship Id="rId28" Type="http://schemas.openxmlformats.org/officeDocument/2006/relationships/hyperlink" Target="https://e-seimas.lrs.lt/portal/legalAct/lt/TAD/TAIS.209177/asr" TargetMode="External"/><Relationship Id="rId36" Type="http://schemas.openxmlformats.org/officeDocument/2006/relationships/hyperlink" Target="https://e-seimas.lrs.lt/portal/legalAct/lt/TAD/TAIS.17752/asr" TargetMode="External"/><Relationship Id="rId49" Type="http://schemas.microsoft.com/office/2016/09/relationships/commentsIds" Target="commentsIds.xml"/><Relationship Id="rId57" Type="http://schemas.openxmlformats.org/officeDocument/2006/relationships/hyperlink" Target="https://e-seimas.lrs.lt/portal/legalAct/lt/TAD/TAIS.197926/asr" TargetMode="External"/><Relationship Id="rId10" Type="http://schemas.openxmlformats.org/officeDocument/2006/relationships/endnotes" Target="endnotes.xml"/><Relationship Id="rId31" Type="http://schemas.openxmlformats.org/officeDocument/2006/relationships/hyperlink" Target="https://e-seimas.lrs.lt/portal/legalAct/lt/TAD/TAIS.216462/asr" TargetMode="External"/><Relationship Id="rId44" Type="http://schemas.openxmlformats.org/officeDocument/2006/relationships/hyperlink" Target="https://eur-lex.europa.eu/legal-content/LT/TXT/?uri=CELEX:02019R0787-20240513" TargetMode="External"/><Relationship Id="rId52" Type="http://schemas.openxmlformats.org/officeDocument/2006/relationships/hyperlink" Target="https://e-seimas.lrs.lt/portal/legalAct/lt/TAD/TAIS.17752/asr" TargetMode="External"/><Relationship Id="rId60" Type="http://schemas.openxmlformats.org/officeDocument/2006/relationships/hyperlink" Target="https://e-seimas.lrs.lt/portal/legalAct/lt/TAD/TAIS.136444/asr"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45E43-B6F0-4CE6-9070-142282C5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3.xml><?xml version="1.0" encoding="utf-8"?>
<ds:datastoreItem xmlns:ds="http://schemas.openxmlformats.org/officeDocument/2006/customXml" ds:itemID="{95B2064C-F65F-40D0-8DBD-10DEB79F1D30}">
  <ds:schemaRefs>
    <ds:schemaRef ds:uri="http://schemas.microsoft.com/sharepoint/v3/contenttype/forms"/>
  </ds:schemaRefs>
</ds:datastoreItem>
</file>

<file path=customXml/itemProps4.xml><?xml version="1.0" encoding="utf-8"?>
<ds:datastoreItem xmlns:ds="http://schemas.openxmlformats.org/officeDocument/2006/customXml" ds:itemID="{1BDD2539-92DD-482E-B150-BAF1D2927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7109</Words>
  <Characters>4053</Characters>
  <Application>Microsoft Office Word</Application>
  <DocSecurity>0</DocSecurity>
  <Lines>33</Lines>
  <Paragraphs>22</Paragraphs>
  <ScaleCrop>false</ScaleCrop>
  <Company>Teisines informacijos centras</Company>
  <LinksUpToDate>false</LinksUpToDate>
  <CharactersWithSpaces>11140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cp:lastModifiedBy>Eimantė Černiauskienė</cp:lastModifiedBy>
  <cp:revision>4</cp:revision>
  <dcterms:created xsi:type="dcterms:W3CDTF">2026-05-06T08:24:00Z</dcterms:created>
  <dcterms:modified xsi:type="dcterms:W3CDTF">2026-05-19T11:32:00Z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